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8DEC7" w14:textId="77777777" w:rsidR="00334A82" w:rsidRDefault="00334A82" w:rsidP="00334A82">
      <w:pPr>
        <w:pStyle w:val="OPAreportmaintitlecover"/>
        <w:ind w:left="426"/>
        <w:rPr>
          <w:color w:val="auto"/>
        </w:rPr>
      </w:pPr>
      <w:bookmarkStart w:id="0" w:name="_GoBack"/>
      <w:bookmarkEnd w:id="0"/>
      <w:r>
        <w:rPr>
          <w:color w:val="auto"/>
        </w:rPr>
        <w:t xml:space="preserve">Submission to the </w:t>
      </w:r>
    </w:p>
    <w:p w14:paraId="033753B6" w14:textId="77777777" w:rsidR="00334A82" w:rsidRPr="003072C6" w:rsidRDefault="00334A82" w:rsidP="00334A82">
      <w:pPr>
        <w:pStyle w:val="OPAreportmaintitlecover"/>
        <w:ind w:left="426"/>
      </w:pPr>
      <w:r w:rsidRPr="30CC999B">
        <w:rPr>
          <w:color w:val="auto"/>
        </w:rPr>
        <w:t xml:space="preserve">Royal Commission into </w:t>
      </w:r>
      <w:r w:rsidR="005D611A" w:rsidRPr="30CC999B">
        <w:rPr>
          <w:color w:val="auto"/>
        </w:rPr>
        <w:t>Violence</w:t>
      </w:r>
      <w:r w:rsidRPr="30CC999B">
        <w:rPr>
          <w:color w:val="auto"/>
        </w:rPr>
        <w:t xml:space="preserve">, </w:t>
      </w:r>
      <w:r w:rsidR="005D611A" w:rsidRPr="30CC999B">
        <w:rPr>
          <w:color w:val="auto"/>
        </w:rPr>
        <w:t>Abuse</w:t>
      </w:r>
      <w:r w:rsidRPr="30CC999B">
        <w:rPr>
          <w:color w:val="auto"/>
        </w:rPr>
        <w:t xml:space="preserve">, </w:t>
      </w:r>
      <w:r w:rsidR="005D611A" w:rsidRPr="30CC999B">
        <w:rPr>
          <w:color w:val="auto"/>
        </w:rPr>
        <w:t xml:space="preserve">Neglect </w:t>
      </w:r>
      <w:r w:rsidRPr="30CC999B">
        <w:rPr>
          <w:color w:val="auto"/>
        </w:rPr>
        <w:t xml:space="preserve">and </w:t>
      </w:r>
      <w:r w:rsidR="005D611A" w:rsidRPr="30CC999B">
        <w:rPr>
          <w:color w:val="auto"/>
        </w:rPr>
        <w:t xml:space="preserve">Exploitation </w:t>
      </w:r>
      <w:r w:rsidRPr="30CC999B">
        <w:rPr>
          <w:color w:val="auto"/>
        </w:rPr>
        <w:t xml:space="preserve">of </w:t>
      </w:r>
      <w:r w:rsidR="005D611A" w:rsidRPr="30CC999B">
        <w:rPr>
          <w:color w:val="auto"/>
        </w:rPr>
        <w:t xml:space="preserve">People </w:t>
      </w:r>
      <w:r w:rsidRPr="30CC999B">
        <w:rPr>
          <w:color w:val="auto"/>
        </w:rPr>
        <w:t xml:space="preserve">with </w:t>
      </w:r>
      <w:r w:rsidR="005D611A" w:rsidRPr="30CC999B">
        <w:rPr>
          <w:color w:val="auto"/>
        </w:rPr>
        <w:t xml:space="preserve">Disability  </w:t>
      </w:r>
    </w:p>
    <w:p w14:paraId="7C93114E" w14:textId="1621280B" w:rsidR="00205C99" w:rsidRPr="003879DB" w:rsidRDefault="00334A82" w:rsidP="00334A82">
      <w:pPr>
        <w:pStyle w:val="OPAreportsubtitlecover"/>
        <w:ind w:left="426"/>
      </w:pPr>
      <w:r>
        <w:t xml:space="preserve">The </w:t>
      </w:r>
      <w:r w:rsidR="00FA6585">
        <w:t>Emergency</w:t>
      </w:r>
      <w:r w:rsidR="00642171">
        <w:t xml:space="preserve"> Planning and Response</w:t>
      </w:r>
      <w:r w:rsidR="005D611A">
        <w:t xml:space="preserve"> Issues Paper</w:t>
      </w:r>
    </w:p>
    <w:p w14:paraId="310BD347" w14:textId="77777777" w:rsidR="00205C99" w:rsidRDefault="00EC057B" w:rsidP="00334A82">
      <w:pPr>
        <w:widowControl w:val="0"/>
        <w:autoSpaceDE w:val="0"/>
        <w:autoSpaceDN w:val="0"/>
        <w:adjustRightInd w:val="0"/>
        <w:spacing w:line="200" w:lineRule="exact"/>
        <w:ind w:left="426"/>
        <w:rPr>
          <w:color w:val="000000"/>
          <w:sz w:val="20"/>
          <w:szCs w:val="20"/>
        </w:rPr>
      </w:pPr>
      <w:r>
        <w:rPr>
          <w:noProof/>
        </w:rPr>
        <mc:AlternateContent>
          <mc:Choice Requires="wps">
            <w:drawing>
              <wp:inline distT="0" distB="0" distL="0" distR="0" wp14:anchorId="1AB063CC" wp14:editId="7BF15229">
                <wp:extent cx="5534025" cy="45720"/>
                <wp:effectExtent l="0" t="0" r="3175" b="0"/>
                <wp:docPr id="4"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4025" cy="45720"/>
                        </a:xfrm>
                        <a:custGeom>
                          <a:avLst/>
                          <a:gdLst>
                            <a:gd name="T0" fmla="*/ 0 w 8374"/>
                            <a:gd name="T1" fmla="*/ 0 h 20"/>
                            <a:gd name="T2" fmla="*/ 2147483646 w 8374"/>
                            <a:gd name="T3" fmla="*/ 0 h 20"/>
                            <a:gd name="T4" fmla="*/ 0 60000 65536"/>
                            <a:gd name="T5" fmla="*/ 0 60000 65536"/>
                          </a:gdLst>
                          <a:ahLst/>
                          <a:cxnLst>
                            <a:cxn ang="T4">
                              <a:pos x="T0" y="T1"/>
                            </a:cxn>
                            <a:cxn ang="T5">
                              <a:pos x="T2" y="T3"/>
                            </a:cxn>
                          </a:cxnLst>
                          <a:rect l="0" t="0" r="r" b="b"/>
                          <a:pathLst>
                            <a:path w="8374" h="20">
                              <a:moveTo>
                                <a:pt x="0" y="0"/>
                              </a:moveTo>
                              <a:lnTo>
                                <a:pt x="83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5ED0CFD" id="Freeform 116" o:spid="_x0000_s1026" style="width:435.75pt;height:3.6pt;visibility:visible;mso-wrap-style:square;mso-left-percent:-10001;mso-top-percent:-10001;mso-position-horizontal:absolute;mso-position-horizontal-relative:char;mso-position-vertical:absolute;mso-position-vertical-relative:line;mso-left-percent:-10001;mso-top-percent:-10001;v-text-anchor:top" coordsize="8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" path="m,l8373,e" filled="f" strokeweight=".58pt">
                <v:path arrowok="t" o:connecttype="custom" o:connectlocs="0,0;2147483646,0" o:connectangles="0,0"/>
                <w10:anchorlock/>
              </v:shape>
            </w:pict>
          </mc:Fallback>
        </mc:AlternateContent>
      </w:r>
    </w:p>
    <w:tbl>
      <w:tblPr>
        <w:tblStyle w:val="TableGrid"/>
        <w:tblpPr w:leftFromText="180" w:rightFromText="180" w:vertAnchor="text" w:horzAnchor="page" w:tblpX="1591" w:tblpY="348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334A82" w14:paraId="4323EF43" w14:textId="77777777" w:rsidTr="00334A82">
        <w:trPr>
          <w:trHeight w:val="982"/>
        </w:trPr>
        <w:tc>
          <w:tcPr>
            <w:tcW w:w="3964" w:type="dxa"/>
          </w:tcPr>
          <w:p w14:paraId="2DB5119A" w14:textId="77777777" w:rsidR="00334A82" w:rsidRPr="00467F46" w:rsidRDefault="00334A82" w:rsidP="00334A82">
            <w:pPr>
              <w:spacing w:before="0" w:after="0"/>
              <w:rPr>
                <w:b/>
              </w:rPr>
            </w:pPr>
            <w:r w:rsidRPr="00467F46">
              <w:rPr>
                <w:b/>
              </w:rPr>
              <w:t>Dr Colleen Pearce</w:t>
            </w:r>
          </w:p>
          <w:p w14:paraId="16710D60" w14:textId="77777777" w:rsidR="00334A82" w:rsidRPr="00467F46" w:rsidRDefault="00334A82" w:rsidP="00334A82">
            <w:pPr>
              <w:spacing w:before="0" w:after="0"/>
            </w:pPr>
            <w:r w:rsidRPr="00467F46">
              <w:t>Public Advocate</w:t>
            </w:r>
          </w:p>
          <w:p w14:paraId="0A1AD9D8" w14:textId="77777777" w:rsidR="00334A82" w:rsidRDefault="00334A82" w:rsidP="00334A82">
            <w:pPr>
              <w:spacing w:before="0" w:after="0"/>
            </w:pPr>
            <w:r w:rsidRPr="00467F46">
              <w:t>Office of the Public Advocate</w:t>
            </w:r>
          </w:p>
        </w:tc>
      </w:tr>
      <w:tr w:rsidR="00334A82" w14:paraId="679B74BE" w14:textId="77777777" w:rsidTr="00334A82">
        <w:trPr>
          <w:trHeight w:val="1427"/>
        </w:trPr>
        <w:tc>
          <w:tcPr>
            <w:tcW w:w="3964" w:type="dxa"/>
          </w:tcPr>
          <w:p w14:paraId="549EB53B" w14:textId="77777777" w:rsidR="00334A82" w:rsidRDefault="00334A82" w:rsidP="00334A82">
            <w:pPr>
              <w:spacing w:before="0" w:after="0"/>
            </w:pPr>
            <w:r w:rsidRPr="004F5A37">
              <w:rPr>
                <w:b/>
              </w:rPr>
              <w:t>Dr John Ches</w:t>
            </w:r>
            <w:r w:rsidRPr="004F5A37">
              <w:rPr>
                <w:b/>
                <w:spacing w:val="2"/>
              </w:rPr>
              <w:t>t</w:t>
            </w:r>
            <w:r w:rsidRPr="004F5A37">
              <w:rPr>
                <w:b/>
              </w:rPr>
              <w:t>erman</w:t>
            </w:r>
            <w:r w:rsidRPr="004F5A37">
              <w:br/>
              <w:t>03 9603 9567</w:t>
            </w:r>
            <w:r w:rsidRPr="004F5A37">
              <w:rPr>
                <w:b/>
              </w:rPr>
              <w:br/>
            </w:r>
            <w:r w:rsidRPr="004A5AAF">
              <w:t>John.Chesterman@justice.vic.gov.au</w:t>
            </w:r>
          </w:p>
        </w:tc>
      </w:tr>
      <w:tr w:rsidR="00334A82" w14:paraId="498C9A3A" w14:textId="77777777" w:rsidTr="00334A82">
        <w:tc>
          <w:tcPr>
            <w:tcW w:w="3964" w:type="dxa"/>
          </w:tcPr>
          <w:p w14:paraId="51DA94D5" w14:textId="77777777" w:rsidR="00334A82" w:rsidRDefault="00334A82" w:rsidP="00334A82">
            <w:pPr>
              <w:widowControl w:val="0"/>
              <w:autoSpaceDE w:val="0"/>
              <w:autoSpaceDN w:val="0"/>
              <w:adjustRightInd w:val="0"/>
              <w:spacing w:before="38"/>
              <w:ind w:right="-20"/>
            </w:pPr>
            <w:r w:rsidRPr="004F5A37">
              <w:rPr>
                <w:b/>
                <w:bCs/>
                <w:sz w:val="17"/>
                <w:szCs w:val="17"/>
              </w:rPr>
              <w:t xml:space="preserve">Office of the Public </w:t>
            </w:r>
            <w:r w:rsidRPr="004F5A37">
              <w:rPr>
                <w:b/>
                <w:bCs/>
                <w:spacing w:val="-3"/>
                <w:sz w:val="17"/>
                <w:szCs w:val="17"/>
              </w:rPr>
              <w:t>A</w:t>
            </w:r>
            <w:r w:rsidRPr="004F5A37">
              <w:rPr>
                <w:b/>
                <w:bCs/>
                <w:spacing w:val="2"/>
                <w:sz w:val="17"/>
                <w:szCs w:val="17"/>
              </w:rPr>
              <w:t>d</w:t>
            </w:r>
            <w:r w:rsidRPr="004F5A37">
              <w:rPr>
                <w:b/>
                <w:bCs/>
                <w:spacing w:val="-2"/>
                <w:sz w:val="17"/>
                <w:szCs w:val="17"/>
              </w:rPr>
              <w:t>v</w:t>
            </w:r>
            <w:r w:rsidRPr="004F5A37">
              <w:rPr>
                <w:b/>
                <w:bCs/>
                <w:sz w:val="17"/>
                <w:szCs w:val="17"/>
              </w:rPr>
              <w:t>ocate</w:t>
            </w:r>
            <w:r w:rsidRPr="004F5A37">
              <w:rPr>
                <w:b/>
                <w:bCs/>
                <w:sz w:val="17"/>
                <w:szCs w:val="17"/>
              </w:rPr>
              <w:br/>
            </w:r>
            <w:r w:rsidRPr="004F5A37">
              <w:rPr>
                <w:sz w:val="17"/>
                <w:szCs w:val="17"/>
              </w:rPr>
              <w:t xml:space="preserve">Level 1, </w:t>
            </w:r>
            <w:r w:rsidRPr="004F5A37">
              <w:rPr>
                <w:spacing w:val="-1"/>
                <w:sz w:val="17"/>
                <w:szCs w:val="17"/>
              </w:rPr>
              <w:t xml:space="preserve">204 </w:t>
            </w:r>
            <w:r w:rsidRPr="004F5A37">
              <w:rPr>
                <w:sz w:val="17"/>
                <w:szCs w:val="17"/>
              </w:rPr>
              <w:t xml:space="preserve">Lygon </w:t>
            </w:r>
            <w:r w:rsidRPr="004F5A37">
              <w:rPr>
                <w:spacing w:val="-8"/>
                <w:sz w:val="17"/>
                <w:szCs w:val="17"/>
              </w:rPr>
              <w:t>S</w:t>
            </w:r>
            <w:r w:rsidRPr="004F5A37">
              <w:rPr>
                <w:spacing w:val="-1"/>
                <w:sz w:val="17"/>
                <w:szCs w:val="17"/>
              </w:rPr>
              <w:t>t</w:t>
            </w:r>
            <w:r w:rsidRPr="004F5A37">
              <w:rPr>
                <w:sz w:val="17"/>
                <w:szCs w:val="17"/>
              </w:rPr>
              <w:t xml:space="preserve">reet, </w:t>
            </w:r>
            <w:r w:rsidRPr="004F5A37">
              <w:rPr>
                <w:spacing w:val="1"/>
                <w:sz w:val="17"/>
                <w:szCs w:val="17"/>
              </w:rPr>
              <w:t>Carlton</w:t>
            </w:r>
            <w:r w:rsidRPr="004F5A37">
              <w:rPr>
                <w:sz w:val="17"/>
                <w:szCs w:val="17"/>
              </w:rPr>
              <w:t xml:space="preserve">, </w:t>
            </w:r>
            <w:r w:rsidRPr="004F5A37">
              <w:rPr>
                <w:spacing w:val="-3"/>
                <w:sz w:val="17"/>
                <w:szCs w:val="17"/>
              </w:rPr>
              <w:t>V</w:t>
            </w:r>
            <w:r w:rsidRPr="004F5A37">
              <w:rPr>
                <w:spacing w:val="1"/>
                <w:sz w:val="17"/>
                <w:szCs w:val="17"/>
              </w:rPr>
              <w:t>i</w:t>
            </w:r>
            <w:r w:rsidRPr="004F5A37">
              <w:rPr>
                <w:sz w:val="17"/>
                <w:szCs w:val="17"/>
              </w:rPr>
              <w:t>ctoria, 3053</w:t>
            </w:r>
            <w:r w:rsidRPr="004F5A37">
              <w:rPr>
                <w:sz w:val="17"/>
                <w:szCs w:val="17"/>
              </w:rPr>
              <w:br/>
            </w:r>
            <w:r w:rsidRPr="004F5A37">
              <w:rPr>
                <w:spacing w:val="-18"/>
                <w:sz w:val="17"/>
                <w:szCs w:val="17"/>
              </w:rPr>
              <w:t>T</w:t>
            </w:r>
            <w:r w:rsidRPr="004F5A37">
              <w:rPr>
                <w:spacing w:val="-1"/>
                <w:sz w:val="17"/>
                <w:szCs w:val="17"/>
              </w:rPr>
              <w:t>e</w:t>
            </w:r>
            <w:r w:rsidRPr="004F5A37">
              <w:rPr>
                <w:sz w:val="17"/>
                <w:szCs w:val="17"/>
              </w:rPr>
              <w:t xml:space="preserve">l: 1300 309 </w:t>
            </w:r>
            <w:r w:rsidRPr="004F5A37">
              <w:rPr>
                <w:spacing w:val="-1"/>
                <w:sz w:val="17"/>
                <w:szCs w:val="17"/>
              </w:rPr>
              <w:t>3</w:t>
            </w:r>
            <w:r w:rsidRPr="004F5A37">
              <w:rPr>
                <w:sz w:val="17"/>
                <w:szCs w:val="17"/>
              </w:rPr>
              <w:t>37</w:t>
            </w:r>
            <w:r w:rsidRPr="004F5A37">
              <w:rPr>
                <w:sz w:val="17"/>
                <w:szCs w:val="17"/>
              </w:rPr>
              <w:br/>
            </w:r>
            <w:hyperlink r:id="rId11" w:history="1">
              <w:r w:rsidRPr="004F5A37">
                <w:rPr>
                  <w:b/>
                  <w:bCs/>
                  <w:sz w:val="17"/>
                  <w:szCs w:val="17"/>
                </w:rPr>
                <w:t>ww</w:t>
              </w:r>
              <w:r w:rsidRPr="004F5A37">
                <w:rPr>
                  <w:b/>
                  <w:bCs/>
                  <w:spacing w:val="-3"/>
                  <w:sz w:val="17"/>
                  <w:szCs w:val="17"/>
                </w:rPr>
                <w:t>w</w:t>
              </w:r>
              <w:r w:rsidRPr="004F5A37">
                <w:rPr>
                  <w:b/>
                  <w:bCs/>
                  <w:spacing w:val="-2"/>
                  <w:sz w:val="17"/>
                  <w:szCs w:val="17"/>
                </w:rPr>
                <w:t>.</w:t>
              </w:r>
              <w:r w:rsidRPr="004F5A37">
                <w:rPr>
                  <w:b/>
                  <w:bCs/>
                  <w:spacing w:val="-1"/>
                  <w:sz w:val="17"/>
                  <w:szCs w:val="17"/>
                </w:rPr>
                <w:t>pu</w:t>
              </w:r>
              <w:r w:rsidRPr="004F5A37">
                <w:rPr>
                  <w:b/>
                  <w:bCs/>
                  <w:sz w:val="17"/>
                  <w:szCs w:val="17"/>
                </w:rPr>
                <w:t>blica</w:t>
              </w:r>
              <w:r w:rsidRPr="004F5A37">
                <w:rPr>
                  <w:b/>
                  <w:bCs/>
                  <w:spacing w:val="-1"/>
                  <w:sz w:val="17"/>
                  <w:szCs w:val="17"/>
                </w:rPr>
                <w:t>d</w:t>
              </w:r>
              <w:r w:rsidRPr="004F5A37">
                <w:rPr>
                  <w:b/>
                  <w:bCs/>
                  <w:spacing w:val="-2"/>
                  <w:sz w:val="17"/>
                  <w:szCs w:val="17"/>
                </w:rPr>
                <w:t>v</w:t>
              </w:r>
              <w:r w:rsidRPr="004F5A37">
                <w:rPr>
                  <w:b/>
                  <w:bCs/>
                  <w:sz w:val="17"/>
                  <w:szCs w:val="17"/>
                </w:rPr>
                <w:t>ocate</w:t>
              </w:r>
              <w:r w:rsidRPr="004F5A37">
                <w:rPr>
                  <w:b/>
                  <w:bCs/>
                  <w:spacing w:val="2"/>
                  <w:sz w:val="17"/>
                  <w:szCs w:val="17"/>
                </w:rPr>
                <w:t>.</w:t>
              </w:r>
              <w:r w:rsidRPr="004F5A37">
                <w:rPr>
                  <w:b/>
                  <w:bCs/>
                  <w:spacing w:val="-2"/>
                  <w:sz w:val="17"/>
                  <w:szCs w:val="17"/>
                </w:rPr>
                <w:t>v</w:t>
              </w:r>
              <w:r w:rsidRPr="004F5A37">
                <w:rPr>
                  <w:b/>
                  <w:bCs/>
                  <w:spacing w:val="-1"/>
                  <w:sz w:val="17"/>
                  <w:szCs w:val="17"/>
                </w:rPr>
                <w:t>i</w:t>
              </w:r>
              <w:r w:rsidRPr="004F5A37">
                <w:rPr>
                  <w:b/>
                  <w:bCs/>
                  <w:sz w:val="17"/>
                  <w:szCs w:val="17"/>
                </w:rPr>
                <w:t>c.g</w:t>
              </w:r>
              <w:r w:rsidRPr="004F5A37">
                <w:rPr>
                  <w:b/>
                  <w:bCs/>
                  <w:spacing w:val="3"/>
                  <w:sz w:val="17"/>
                  <w:szCs w:val="17"/>
                </w:rPr>
                <w:t>o</w:t>
              </w:r>
              <w:r w:rsidRPr="004F5A37">
                <w:rPr>
                  <w:b/>
                  <w:bCs/>
                  <w:spacing w:val="-16"/>
                  <w:sz w:val="17"/>
                  <w:szCs w:val="17"/>
                </w:rPr>
                <w:t>v</w:t>
              </w:r>
              <w:r w:rsidRPr="004F5A37">
                <w:rPr>
                  <w:b/>
                  <w:bCs/>
                  <w:spacing w:val="1"/>
                  <w:sz w:val="17"/>
                  <w:szCs w:val="17"/>
                </w:rPr>
                <w:t>.</w:t>
              </w:r>
              <w:r w:rsidRPr="004F5A37">
                <w:rPr>
                  <w:b/>
                  <w:bCs/>
                  <w:sz w:val="17"/>
                  <w:szCs w:val="17"/>
                </w:rPr>
                <w:t>au</w:t>
              </w:r>
            </w:hyperlink>
          </w:p>
        </w:tc>
      </w:tr>
    </w:tbl>
    <w:p w14:paraId="32057DA9" w14:textId="55DCDF01" w:rsidR="00205C99" w:rsidRDefault="002C7143" w:rsidP="00205C99">
      <w:pPr>
        <w:pStyle w:val="OPAreportsubtitlecover"/>
      </w:pPr>
      <w:r>
        <w:t>July</w:t>
      </w:r>
      <w:r w:rsidR="00334A82">
        <w:t xml:space="preserve"> 2020</w:t>
      </w:r>
    </w:p>
    <w:p w14:paraId="17B28707" w14:textId="77777777" w:rsidR="00205C99" w:rsidRPr="00205C99" w:rsidRDefault="00205C99" w:rsidP="00205C99">
      <w:pPr>
        <w:spacing w:before="0" w:after="0"/>
      </w:pPr>
    </w:p>
    <w:p w14:paraId="36F2C7B9" w14:textId="77777777" w:rsidR="00205C99" w:rsidRDefault="00205C99" w:rsidP="00205C99">
      <w:pPr>
        <w:spacing w:before="0" w:after="0"/>
      </w:pPr>
      <w:r>
        <w:br w:type="page"/>
      </w:r>
    </w:p>
    <w:sdt>
      <w:sdtPr>
        <w:rPr>
          <w:rFonts w:eastAsia="Calibri"/>
          <w:b w:val="0"/>
          <w:bCs w:val="0"/>
          <w:kern w:val="0"/>
          <w:sz w:val="22"/>
          <w:szCs w:val="22"/>
        </w:rPr>
        <w:id w:val="-1825342874"/>
        <w:docPartObj>
          <w:docPartGallery w:val="Table of Contents"/>
          <w:docPartUnique/>
        </w:docPartObj>
      </w:sdtPr>
      <w:sdtEndPr>
        <w:rPr>
          <w:noProof/>
        </w:rPr>
      </w:sdtEndPr>
      <w:sdtContent>
        <w:p w14:paraId="1AE4D62E" w14:textId="77777777" w:rsidR="00205C99" w:rsidRDefault="00205C99">
          <w:pPr>
            <w:pStyle w:val="TOCHeading"/>
          </w:pPr>
          <w:r>
            <w:t>Contents</w:t>
          </w:r>
        </w:p>
        <w:p w14:paraId="6F6BE9AF" w14:textId="75B842F4" w:rsidR="00033F0B" w:rsidRDefault="004E63CF">
          <w:pPr>
            <w:pStyle w:val="TOC1"/>
            <w:tabs>
              <w:tab w:val="right" w:leader="dot" w:pos="9628"/>
            </w:tabs>
            <w:rPr>
              <w:rFonts w:asciiTheme="minorHAnsi" w:eastAsiaTheme="minorEastAsia" w:hAnsiTheme="minorHAnsi" w:cstheme="minorBidi"/>
              <w:noProof/>
              <w:sz w:val="24"/>
              <w:szCs w:val="24"/>
              <w:lang w:eastAsia="en-US"/>
            </w:rPr>
          </w:pPr>
          <w:r>
            <w:rPr>
              <w:b/>
              <w:bCs/>
              <w:noProof/>
            </w:rPr>
            <w:fldChar w:fldCharType="begin"/>
          </w:r>
          <w:r w:rsidR="00205C99">
            <w:rPr>
              <w:b/>
              <w:bCs/>
              <w:noProof/>
            </w:rPr>
            <w:instrText xml:space="preserve"> TOC \o "1-3" \h \z \u </w:instrText>
          </w:r>
          <w:r>
            <w:rPr>
              <w:b/>
              <w:bCs/>
              <w:noProof/>
            </w:rPr>
            <w:fldChar w:fldCharType="separate"/>
          </w:r>
          <w:hyperlink w:anchor="_Toc46949121" w:history="1">
            <w:r w:rsidR="00033F0B" w:rsidRPr="00AC7763">
              <w:rPr>
                <w:rStyle w:val="Hyperlink"/>
                <w:noProof/>
              </w:rPr>
              <w:t>Abbreviations</w:t>
            </w:r>
            <w:r w:rsidR="00033F0B">
              <w:rPr>
                <w:noProof/>
                <w:webHidden/>
              </w:rPr>
              <w:tab/>
            </w:r>
            <w:r w:rsidR="00033F0B">
              <w:rPr>
                <w:noProof/>
                <w:webHidden/>
              </w:rPr>
              <w:fldChar w:fldCharType="begin"/>
            </w:r>
            <w:r w:rsidR="00033F0B">
              <w:rPr>
                <w:noProof/>
                <w:webHidden/>
              </w:rPr>
              <w:instrText xml:space="preserve"> PAGEREF _Toc46949121 \h </w:instrText>
            </w:r>
            <w:r w:rsidR="00033F0B">
              <w:rPr>
                <w:noProof/>
                <w:webHidden/>
              </w:rPr>
            </w:r>
            <w:r w:rsidR="00033F0B">
              <w:rPr>
                <w:noProof/>
                <w:webHidden/>
              </w:rPr>
              <w:fldChar w:fldCharType="separate"/>
            </w:r>
            <w:r w:rsidR="00D47E3C">
              <w:rPr>
                <w:noProof/>
                <w:webHidden/>
              </w:rPr>
              <w:t>3</w:t>
            </w:r>
            <w:r w:rsidR="00033F0B">
              <w:rPr>
                <w:noProof/>
                <w:webHidden/>
              </w:rPr>
              <w:fldChar w:fldCharType="end"/>
            </w:r>
          </w:hyperlink>
        </w:p>
        <w:p w14:paraId="19F0CEAB" w14:textId="0BD4B391" w:rsidR="00033F0B" w:rsidRDefault="00A6496B">
          <w:pPr>
            <w:pStyle w:val="TOC1"/>
            <w:tabs>
              <w:tab w:val="right" w:leader="dot" w:pos="9628"/>
            </w:tabs>
            <w:rPr>
              <w:rFonts w:asciiTheme="minorHAnsi" w:eastAsiaTheme="minorEastAsia" w:hAnsiTheme="minorHAnsi" w:cstheme="minorBidi"/>
              <w:noProof/>
              <w:sz w:val="24"/>
              <w:szCs w:val="24"/>
              <w:lang w:eastAsia="en-US"/>
            </w:rPr>
          </w:pPr>
          <w:hyperlink w:anchor="_Toc46949122" w:history="1">
            <w:r w:rsidR="00033F0B" w:rsidRPr="00AC7763">
              <w:rPr>
                <w:rStyle w:val="Hyperlink"/>
                <w:noProof/>
              </w:rPr>
              <w:t>Recommendations</w:t>
            </w:r>
            <w:r w:rsidR="00033F0B">
              <w:rPr>
                <w:noProof/>
                <w:webHidden/>
              </w:rPr>
              <w:tab/>
            </w:r>
            <w:r w:rsidR="00033F0B">
              <w:rPr>
                <w:noProof/>
                <w:webHidden/>
              </w:rPr>
              <w:fldChar w:fldCharType="begin"/>
            </w:r>
            <w:r w:rsidR="00033F0B">
              <w:rPr>
                <w:noProof/>
                <w:webHidden/>
              </w:rPr>
              <w:instrText xml:space="preserve"> PAGEREF _Toc46949122 \h </w:instrText>
            </w:r>
            <w:r w:rsidR="00033F0B">
              <w:rPr>
                <w:noProof/>
                <w:webHidden/>
              </w:rPr>
            </w:r>
            <w:r w:rsidR="00033F0B">
              <w:rPr>
                <w:noProof/>
                <w:webHidden/>
              </w:rPr>
              <w:fldChar w:fldCharType="separate"/>
            </w:r>
            <w:r w:rsidR="00D47E3C">
              <w:rPr>
                <w:noProof/>
                <w:webHidden/>
              </w:rPr>
              <w:t>4</w:t>
            </w:r>
            <w:r w:rsidR="00033F0B">
              <w:rPr>
                <w:noProof/>
                <w:webHidden/>
              </w:rPr>
              <w:fldChar w:fldCharType="end"/>
            </w:r>
          </w:hyperlink>
        </w:p>
        <w:p w14:paraId="463545C5" w14:textId="730A3F96" w:rsidR="00033F0B" w:rsidRDefault="00A6496B">
          <w:pPr>
            <w:pStyle w:val="TOC1"/>
            <w:tabs>
              <w:tab w:val="left" w:pos="440"/>
              <w:tab w:val="right" w:leader="dot" w:pos="9628"/>
            </w:tabs>
            <w:rPr>
              <w:rFonts w:asciiTheme="minorHAnsi" w:eastAsiaTheme="minorEastAsia" w:hAnsiTheme="minorHAnsi" w:cstheme="minorBidi"/>
              <w:noProof/>
              <w:sz w:val="24"/>
              <w:szCs w:val="24"/>
              <w:lang w:eastAsia="en-US"/>
            </w:rPr>
          </w:pPr>
          <w:hyperlink w:anchor="_Toc46949123" w:history="1">
            <w:r w:rsidR="00033F0B" w:rsidRPr="00AC7763">
              <w:rPr>
                <w:rStyle w:val="Hyperlink"/>
                <w:noProof/>
              </w:rPr>
              <w:t>1.</w:t>
            </w:r>
            <w:r w:rsidR="00033F0B">
              <w:rPr>
                <w:rFonts w:asciiTheme="minorHAnsi" w:eastAsiaTheme="minorEastAsia" w:hAnsiTheme="minorHAnsi" w:cstheme="minorBidi"/>
                <w:noProof/>
                <w:sz w:val="24"/>
                <w:szCs w:val="24"/>
                <w:lang w:eastAsia="en-US"/>
              </w:rPr>
              <w:tab/>
            </w:r>
            <w:r w:rsidR="00033F0B" w:rsidRPr="00AC7763">
              <w:rPr>
                <w:rStyle w:val="Hyperlink"/>
                <w:noProof/>
              </w:rPr>
              <w:t>Introduction</w:t>
            </w:r>
            <w:r w:rsidR="00033F0B">
              <w:rPr>
                <w:noProof/>
                <w:webHidden/>
              </w:rPr>
              <w:tab/>
            </w:r>
            <w:r w:rsidR="00033F0B">
              <w:rPr>
                <w:noProof/>
                <w:webHidden/>
              </w:rPr>
              <w:fldChar w:fldCharType="begin"/>
            </w:r>
            <w:r w:rsidR="00033F0B">
              <w:rPr>
                <w:noProof/>
                <w:webHidden/>
              </w:rPr>
              <w:instrText xml:space="preserve"> PAGEREF _Toc46949123 \h </w:instrText>
            </w:r>
            <w:r w:rsidR="00033F0B">
              <w:rPr>
                <w:noProof/>
                <w:webHidden/>
              </w:rPr>
            </w:r>
            <w:r w:rsidR="00033F0B">
              <w:rPr>
                <w:noProof/>
                <w:webHidden/>
              </w:rPr>
              <w:fldChar w:fldCharType="separate"/>
            </w:r>
            <w:r w:rsidR="00D47E3C">
              <w:rPr>
                <w:noProof/>
                <w:webHidden/>
              </w:rPr>
              <w:t>7</w:t>
            </w:r>
            <w:r w:rsidR="00033F0B">
              <w:rPr>
                <w:noProof/>
                <w:webHidden/>
              </w:rPr>
              <w:fldChar w:fldCharType="end"/>
            </w:r>
          </w:hyperlink>
        </w:p>
        <w:p w14:paraId="04C273A2" w14:textId="1DAA1EF3" w:rsidR="00033F0B" w:rsidRDefault="00A6496B">
          <w:pPr>
            <w:pStyle w:val="TOC3"/>
            <w:tabs>
              <w:tab w:val="left" w:pos="1100"/>
              <w:tab w:val="right" w:leader="dot" w:pos="9628"/>
            </w:tabs>
            <w:rPr>
              <w:rFonts w:asciiTheme="minorHAnsi" w:eastAsiaTheme="minorEastAsia" w:hAnsiTheme="minorHAnsi" w:cstheme="minorBidi"/>
              <w:noProof/>
              <w:sz w:val="24"/>
              <w:szCs w:val="24"/>
              <w:lang w:eastAsia="en-US"/>
            </w:rPr>
          </w:pPr>
          <w:hyperlink w:anchor="_Toc46949124" w:history="1">
            <w:r w:rsidR="00033F0B" w:rsidRPr="00AC7763">
              <w:rPr>
                <w:rStyle w:val="Hyperlink"/>
                <w:noProof/>
              </w:rPr>
              <w:t>1.1.</w:t>
            </w:r>
            <w:r w:rsidR="00033F0B">
              <w:rPr>
                <w:rFonts w:asciiTheme="minorHAnsi" w:eastAsiaTheme="minorEastAsia" w:hAnsiTheme="minorHAnsi" w:cstheme="minorBidi"/>
                <w:noProof/>
                <w:sz w:val="24"/>
                <w:szCs w:val="24"/>
                <w:lang w:eastAsia="en-US"/>
              </w:rPr>
              <w:tab/>
            </w:r>
            <w:r w:rsidR="00033F0B" w:rsidRPr="00AC7763">
              <w:rPr>
                <w:rStyle w:val="Hyperlink"/>
                <w:noProof/>
              </w:rPr>
              <w:t>About the Office of the Public Advocate</w:t>
            </w:r>
            <w:r w:rsidR="00033F0B">
              <w:rPr>
                <w:noProof/>
                <w:webHidden/>
              </w:rPr>
              <w:tab/>
            </w:r>
            <w:r w:rsidR="00033F0B">
              <w:rPr>
                <w:noProof/>
                <w:webHidden/>
              </w:rPr>
              <w:fldChar w:fldCharType="begin"/>
            </w:r>
            <w:r w:rsidR="00033F0B">
              <w:rPr>
                <w:noProof/>
                <w:webHidden/>
              </w:rPr>
              <w:instrText xml:space="preserve"> PAGEREF _Toc46949124 \h </w:instrText>
            </w:r>
            <w:r w:rsidR="00033F0B">
              <w:rPr>
                <w:noProof/>
                <w:webHidden/>
              </w:rPr>
            </w:r>
            <w:r w:rsidR="00033F0B">
              <w:rPr>
                <w:noProof/>
                <w:webHidden/>
              </w:rPr>
              <w:fldChar w:fldCharType="separate"/>
            </w:r>
            <w:r w:rsidR="00D47E3C">
              <w:rPr>
                <w:noProof/>
                <w:webHidden/>
              </w:rPr>
              <w:t>7</w:t>
            </w:r>
            <w:r w:rsidR="00033F0B">
              <w:rPr>
                <w:noProof/>
                <w:webHidden/>
              </w:rPr>
              <w:fldChar w:fldCharType="end"/>
            </w:r>
          </w:hyperlink>
        </w:p>
        <w:p w14:paraId="32DAB1E5" w14:textId="0F2E64F0" w:rsidR="00033F0B" w:rsidRDefault="00A6496B">
          <w:pPr>
            <w:pStyle w:val="TOC3"/>
            <w:tabs>
              <w:tab w:val="left" w:pos="1100"/>
              <w:tab w:val="right" w:leader="dot" w:pos="9628"/>
            </w:tabs>
            <w:rPr>
              <w:rFonts w:asciiTheme="minorHAnsi" w:eastAsiaTheme="minorEastAsia" w:hAnsiTheme="minorHAnsi" w:cstheme="minorBidi"/>
              <w:noProof/>
              <w:sz w:val="24"/>
              <w:szCs w:val="24"/>
              <w:lang w:eastAsia="en-US"/>
            </w:rPr>
          </w:pPr>
          <w:hyperlink w:anchor="_Toc46949125" w:history="1">
            <w:r w:rsidR="00033F0B" w:rsidRPr="00AC7763">
              <w:rPr>
                <w:rStyle w:val="Hyperlink"/>
                <w:noProof/>
              </w:rPr>
              <w:t>1.2.</w:t>
            </w:r>
            <w:r w:rsidR="00033F0B">
              <w:rPr>
                <w:rFonts w:asciiTheme="minorHAnsi" w:eastAsiaTheme="minorEastAsia" w:hAnsiTheme="minorHAnsi" w:cstheme="minorBidi"/>
                <w:noProof/>
                <w:sz w:val="24"/>
                <w:szCs w:val="24"/>
                <w:lang w:eastAsia="en-US"/>
              </w:rPr>
              <w:tab/>
            </w:r>
            <w:r w:rsidR="00033F0B" w:rsidRPr="00AC7763">
              <w:rPr>
                <w:rStyle w:val="Hyperlink"/>
                <w:noProof/>
              </w:rPr>
              <w:t>OPA’s engagement with the Royal Commission</w:t>
            </w:r>
            <w:r w:rsidR="00033F0B">
              <w:rPr>
                <w:noProof/>
                <w:webHidden/>
              </w:rPr>
              <w:tab/>
            </w:r>
            <w:r w:rsidR="00033F0B">
              <w:rPr>
                <w:noProof/>
                <w:webHidden/>
              </w:rPr>
              <w:fldChar w:fldCharType="begin"/>
            </w:r>
            <w:r w:rsidR="00033F0B">
              <w:rPr>
                <w:noProof/>
                <w:webHidden/>
              </w:rPr>
              <w:instrText xml:space="preserve"> PAGEREF _Toc46949125 \h </w:instrText>
            </w:r>
            <w:r w:rsidR="00033F0B">
              <w:rPr>
                <w:noProof/>
                <w:webHidden/>
              </w:rPr>
            </w:r>
            <w:r w:rsidR="00033F0B">
              <w:rPr>
                <w:noProof/>
                <w:webHidden/>
              </w:rPr>
              <w:fldChar w:fldCharType="separate"/>
            </w:r>
            <w:r w:rsidR="00D47E3C">
              <w:rPr>
                <w:noProof/>
                <w:webHidden/>
              </w:rPr>
              <w:t>8</w:t>
            </w:r>
            <w:r w:rsidR="00033F0B">
              <w:rPr>
                <w:noProof/>
                <w:webHidden/>
              </w:rPr>
              <w:fldChar w:fldCharType="end"/>
            </w:r>
          </w:hyperlink>
        </w:p>
        <w:p w14:paraId="0AE75FD5" w14:textId="7DB50164" w:rsidR="00033F0B" w:rsidRDefault="00A6496B">
          <w:pPr>
            <w:pStyle w:val="TOC3"/>
            <w:tabs>
              <w:tab w:val="left" w:pos="1100"/>
              <w:tab w:val="right" w:leader="dot" w:pos="9628"/>
            </w:tabs>
            <w:rPr>
              <w:rFonts w:asciiTheme="minorHAnsi" w:eastAsiaTheme="minorEastAsia" w:hAnsiTheme="minorHAnsi" w:cstheme="minorBidi"/>
              <w:noProof/>
              <w:sz w:val="24"/>
              <w:szCs w:val="24"/>
              <w:lang w:eastAsia="en-US"/>
            </w:rPr>
          </w:pPr>
          <w:hyperlink w:anchor="_Toc46949126" w:history="1">
            <w:r w:rsidR="00033F0B" w:rsidRPr="00AC7763">
              <w:rPr>
                <w:rStyle w:val="Hyperlink"/>
                <w:noProof/>
              </w:rPr>
              <w:t>1.3.</w:t>
            </w:r>
            <w:r w:rsidR="00033F0B">
              <w:rPr>
                <w:rFonts w:asciiTheme="minorHAnsi" w:eastAsiaTheme="minorEastAsia" w:hAnsiTheme="minorHAnsi" w:cstheme="minorBidi"/>
                <w:noProof/>
                <w:sz w:val="24"/>
                <w:szCs w:val="24"/>
                <w:lang w:eastAsia="en-US"/>
              </w:rPr>
              <w:tab/>
            </w:r>
            <w:r w:rsidR="00033F0B" w:rsidRPr="00AC7763">
              <w:rPr>
                <w:rStyle w:val="Hyperlink"/>
                <w:noProof/>
              </w:rPr>
              <w:t>About this submission</w:t>
            </w:r>
            <w:r w:rsidR="00033F0B">
              <w:rPr>
                <w:noProof/>
                <w:webHidden/>
              </w:rPr>
              <w:tab/>
            </w:r>
            <w:r w:rsidR="00033F0B">
              <w:rPr>
                <w:noProof/>
                <w:webHidden/>
              </w:rPr>
              <w:fldChar w:fldCharType="begin"/>
            </w:r>
            <w:r w:rsidR="00033F0B">
              <w:rPr>
                <w:noProof/>
                <w:webHidden/>
              </w:rPr>
              <w:instrText xml:space="preserve"> PAGEREF _Toc46949126 \h </w:instrText>
            </w:r>
            <w:r w:rsidR="00033F0B">
              <w:rPr>
                <w:noProof/>
                <w:webHidden/>
              </w:rPr>
            </w:r>
            <w:r w:rsidR="00033F0B">
              <w:rPr>
                <w:noProof/>
                <w:webHidden/>
              </w:rPr>
              <w:fldChar w:fldCharType="separate"/>
            </w:r>
            <w:r w:rsidR="00D47E3C">
              <w:rPr>
                <w:noProof/>
                <w:webHidden/>
              </w:rPr>
              <w:t>8</w:t>
            </w:r>
            <w:r w:rsidR="00033F0B">
              <w:rPr>
                <w:noProof/>
                <w:webHidden/>
              </w:rPr>
              <w:fldChar w:fldCharType="end"/>
            </w:r>
          </w:hyperlink>
        </w:p>
        <w:p w14:paraId="69542659" w14:textId="2DA5F511" w:rsidR="00033F0B" w:rsidRDefault="00A6496B">
          <w:pPr>
            <w:pStyle w:val="TOC3"/>
            <w:tabs>
              <w:tab w:val="left" w:pos="1100"/>
              <w:tab w:val="right" w:leader="dot" w:pos="9628"/>
            </w:tabs>
            <w:rPr>
              <w:rFonts w:asciiTheme="minorHAnsi" w:eastAsiaTheme="minorEastAsia" w:hAnsiTheme="minorHAnsi" w:cstheme="minorBidi"/>
              <w:noProof/>
              <w:sz w:val="24"/>
              <w:szCs w:val="24"/>
              <w:lang w:eastAsia="en-US"/>
            </w:rPr>
          </w:pPr>
          <w:hyperlink w:anchor="_Toc46949127" w:history="1">
            <w:r w:rsidR="00033F0B" w:rsidRPr="00AC7763">
              <w:rPr>
                <w:rStyle w:val="Hyperlink"/>
                <w:noProof/>
              </w:rPr>
              <w:t>1.4.</w:t>
            </w:r>
            <w:r w:rsidR="00033F0B">
              <w:rPr>
                <w:rFonts w:asciiTheme="minorHAnsi" w:eastAsiaTheme="minorEastAsia" w:hAnsiTheme="minorHAnsi" w:cstheme="minorBidi"/>
                <w:noProof/>
                <w:sz w:val="24"/>
                <w:szCs w:val="24"/>
                <w:lang w:eastAsia="en-US"/>
              </w:rPr>
              <w:tab/>
            </w:r>
            <w:r w:rsidR="00033F0B" w:rsidRPr="00AC7763">
              <w:rPr>
                <w:rStyle w:val="Hyperlink"/>
                <w:noProof/>
              </w:rPr>
              <w:t>Structure of this submission</w:t>
            </w:r>
            <w:r w:rsidR="00033F0B">
              <w:rPr>
                <w:noProof/>
                <w:webHidden/>
              </w:rPr>
              <w:tab/>
            </w:r>
            <w:r w:rsidR="00033F0B">
              <w:rPr>
                <w:noProof/>
                <w:webHidden/>
              </w:rPr>
              <w:fldChar w:fldCharType="begin"/>
            </w:r>
            <w:r w:rsidR="00033F0B">
              <w:rPr>
                <w:noProof/>
                <w:webHidden/>
              </w:rPr>
              <w:instrText xml:space="preserve"> PAGEREF _Toc46949127 \h </w:instrText>
            </w:r>
            <w:r w:rsidR="00033F0B">
              <w:rPr>
                <w:noProof/>
                <w:webHidden/>
              </w:rPr>
            </w:r>
            <w:r w:rsidR="00033F0B">
              <w:rPr>
                <w:noProof/>
                <w:webHidden/>
              </w:rPr>
              <w:fldChar w:fldCharType="separate"/>
            </w:r>
            <w:r w:rsidR="00D47E3C">
              <w:rPr>
                <w:noProof/>
                <w:webHidden/>
              </w:rPr>
              <w:t>9</w:t>
            </w:r>
            <w:r w:rsidR="00033F0B">
              <w:rPr>
                <w:noProof/>
                <w:webHidden/>
              </w:rPr>
              <w:fldChar w:fldCharType="end"/>
            </w:r>
          </w:hyperlink>
        </w:p>
        <w:p w14:paraId="5C501878" w14:textId="610BF538" w:rsidR="00033F0B" w:rsidRDefault="00A6496B">
          <w:pPr>
            <w:pStyle w:val="TOC1"/>
            <w:tabs>
              <w:tab w:val="left" w:pos="440"/>
              <w:tab w:val="right" w:leader="dot" w:pos="9628"/>
            </w:tabs>
            <w:rPr>
              <w:rFonts w:asciiTheme="minorHAnsi" w:eastAsiaTheme="minorEastAsia" w:hAnsiTheme="minorHAnsi" w:cstheme="minorBidi"/>
              <w:noProof/>
              <w:sz w:val="24"/>
              <w:szCs w:val="24"/>
              <w:lang w:eastAsia="en-US"/>
            </w:rPr>
          </w:pPr>
          <w:hyperlink w:anchor="_Toc46949128" w:history="1">
            <w:r w:rsidR="00033F0B" w:rsidRPr="00AC7763">
              <w:rPr>
                <w:rStyle w:val="Hyperlink"/>
                <w:rFonts w:eastAsia="Times New Roman"/>
                <w:noProof/>
              </w:rPr>
              <w:t>2.</w:t>
            </w:r>
            <w:r w:rsidR="00033F0B">
              <w:rPr>
                <w:rFonts w:asciiTheme="minorHAnsi" w:eastAsiaTheme="minorEastAsia" w:hAnsiTheme="minorHAnsi" w:cstheme="minorBidi"/>
                <w:noProof/>
                <w:sz w:val="24"/>
                <w:szCs w:val="24"/>
                <w:lang w:eastAsia="en-US"/>
              </w:rPr>
              <w:tab/>
            </w:r>
            <w:r w:rsidR="00033F0B" w:rsidRPr="00AC7763">
              <w:rPr>
                <w:rStyle w:val="Hyperlink"/>
                <w:noProof/>
              </w:rPr>
              <w:t>Characteristics of public emergency responses</w:t>
            </w:r>
            <w:r w:rsidR="00033F0B">
              <w:rPr>
                <w:noProof/>
                <w:webHidden/>
              </w:rPr>
              <w:tab/>
            </w:r>
            <w:r w:rsidR="00033F0B">
              <w:rPr>
                <w:noProof/>
                <w:webHidden/>
              </w:rPr>
              <w:fldChar w:fldCharType="begin"/>
            </w:r>
            <w:r w:rsidR="00033F0B">
              <w:rPr>
                <w:noProof/>
                <w:webHidden/>
              </w:rPr>
              <w:instrText xml:space="preserve"> PAGEREF _Toc46949128 \h </w:instrText>
            </w:r>
            <w:r w:rsidR="00033F0B">
              <w:rPr>
                <w:noProof/>
                <w:webHidden/>
              </w:rPr>
            </w:r>
            <w:r w:rsidR="00033F0B">
              <w:rPr>
                <w:noProof/>
                <w:webHidden/>
              </w:rPr>
              <w:fldChar w:fldCharType="separate"/>
            </w:r>
            <w:r w:rsidR="00D47E3C">
              <w:rPr>
                <w:noProof/>
                <w:webHidden/>
              </w:rPr>
              <w:t>9</w:t>
            </w:r>
            <w:r w:rsidR="00033F0B">
              <w:rPr>
                <w:noProof/>
                <w:webHidden/>
              </w:rPr>
              <w:fldChar w:fldCharType="end"/>
            </w:r>
          </w:hyperlink>
        </w:p>
        <w:p w14:paraId="07C7A244" w14:textId="6B9F9018" w:rsidR="00033F0B" w:rsidRDefault="00A6496B">
          <w:pPr>
            <w:pStyle w:val="TOC3"/>
            <w:tabs>
              <w:tab w:val="left" w:pos="1100"/>
              <w:tab w:val="right" w:leader="dot" w:pos="9628"/>
            </w:tabs>
            <w:rPr>
              <w:rFonts w:asciiTheme="minorHAnsi" w:eastAsiaTheme="minorEastAsia" w:hAnsiTheme="minorHAnsi" w:cstheme="minorBidi"/>
              <w:noProof/>
              <w:sz w:val="24"/>
              <w:szCs w:val="24"/>
              <w:lang w:eastAsia="en-US"/>
            </w:rPr>
          </w:pPr>
          <w:hyperlink w:anchor="_Toc46949129" w:history="1">
            <w:r w:rsidR="00033F0B" w:rsidRPr="00AC7763">
              <w:rPr>
                <w:rStyle w:val="Hyperlink"/>
                <w:noProof/>
              </w:rPr>
              <w:t>2.1.</w:t>
            </w:r>
            <w:r w:rsidR="00033F0B">
              <w:rPr>
                <w:rFonts w:asciiTheme="minorHAnsi" w:eastAsiaTheme="minorEastAsia" w:hAnsiTheme="minorHAnsi" w:cstheme="minorBidi"/>
                <w:noProof/>
                <w:sz w:val="24"/>
                <w:szCs w:val="24"/>
                <w:lang w:eastAsia="en-US"/>
              </w:rPr>
              <w:tab/>
            </w:r>
            <w:r w:rsidR="00033F0B" w:rsidRPr="00AC7763">
              <w:rPr>
                <w:rStyle w:val="Hyperlink"/>
                <w:noProof/>
              </w:rPr>
              <w:t>Confusion and ambiguity</w:t>
            </w:r>
            <w:r w:rsidR="00033F0B">
              <w:rPr>
                <w:noProof/>
                <w:webHidden/>
              </w:rPr>
              <w:tab/>
            </w:r>
            <w:r w:rsidR="00033F0B">
              <w:rPr>
                <w:noProof/>
                <w:webHidden/>
              </w:rPr>
              <w:fldChar w:fldCharType="begin"/>
            </w:r>
            <w:r w:rsidR="00033F0B">
              <w:rPr>
                <w:noProof/>
                <w:webHidden/>
              </w:rPr>
              <w:instrText xml:space="preserve"> PAGEREF _Toc46949129 \h </w:instrText>
            </w:r>
            <w:r w:rsidR="00033F0B">
              <w:rPr>
                <w:noProof/>
                <w:webHidden/>
              </w:rPr>
            </w:r>
            <w:r w:rsidR="00033F0B">
              <w:rPr>
                <w:noProof/>
                <w:webHidden/>
              </w:rPr>
              <w:fldChar w:fldCharType="separate"/>
            </w:r>
            <w:r w:rsidR="00D47E3C">
              <w:rPr>
                <w:noProof/>
                <w:webHidden/>
              </w:rPr>
              <w:t>11</w:t>
            </w:r>
            <w:r w:rsidR="00033F0B">
              <w:rPr>
                <w:noProof/>
                <w:webHidden/>
              </w:rPr>
              <w:fldChar w:fldCharType="end"/>
            </w:r>
          </w:hyperlink>
        </w:p>
        <w:p w14:paraId="10A8C90C" w14:textId="24511834" w:rsidR="00033F0B" w:rsidRDefault="00A6496B">
          <w:pPr>
            <w:pStyle w:val="TOC3"/>
            <w:tabs>
              <w:tab w:val="left" w:pos="1100"/>
              <w:tab w:val="right" w:leader="dot" w:pos="9628"/>
            </w:tabs>
            <w:rPr>
              <w:rFonts w:asciiTheme="minorHAnsi" w:eastAsiaTheme="minorEastAsia" w:hAnsiTheme="minorHAnsi" w:cstheme="minorBidi"/>
              <w:noProof/>
              <w:sz w:val="24"/>
              <w:szCs w:val="24"/>
              <w:lang w:eastAsia="en-US"/>
            </w:rPr>
          </w:pPr>
          <w:hyperlink w:anchor="_Toc46949130" w:history="1">
            <w:r w:rsidR="00033F0B" w:rsidRPr="00AC7763">
              <w:rPr>
                <w:rStyle w:val="Hyperlink"/>
                <w:noProof/>
              </w:rPr>
              <w:t>2.2.</w:t>
            </w:r>
            <w:r w:rsidR="00033F0B">
              <w:rPr>
                <w:rFonts w:asciiTheme="minorHAnsi" w:eastAsiaTheme="minorEastAsia" w:hAnsiTheme="minorHAnsi" w:cstheme="minorBidi"/>
                <w:noProof/>
                <w:sz w:val="24"/>
                <w:szCs w:val="24"/>
                <w:lang w:eastAsia="en-US"/>
              </w:rPr>
              <w:tab/>
            </w:r>
            <w:r w:rsidR="00033F0B" w:rsidRPr="00AC7763">
              <w:rPr>
                <w:rStyle w:val="Hyperlink"/>
                <w:noProof/>
              </w:rPr>
              <w:t>Providers dictate options</w:t>
            </w:r>
            <w:r w:rsidR="00033F0B">
              <w:rPr>
                <w:noProof/>
                <w:webHidden/>
              </w:rPr>
              <w:tab/>
            </w:r>
            <w:r w:rsidR="00033F0B">
              <w:rPr>
                <w:noProof/>
                <w:webHidden/>
              </w:rPr>
              <w:fldChar w:fldCharType="begin"/>
            </w:r>
            <w:r w:rsidR="00033F0B">
              <w:rPr>
                <w:noProof/>
                <w:webHidden/>
              </w:rPr>
              <w:instrText xml:space="preserve"> PAGEREF _Toc46949130 \h </w:instrText>
            </w:r>
            <w:r w:rsidR="00033F0B">
              <w:rPr>
                <w:noProof/>
                <w:webHidden/>
              </w:rPr>
            </w:r>
            <w:r w:rsidR="00033F0B">
              <w:rPr>
                <w:noProof/>
                <w:webHidden/>
              </w:rPr>
              <w:fldChar w:fldCharType="separate"/>
            </w:r>
            <w:r w:rsidR="00D47E3C">
              <w:rPr>
                <w:noProof/>
                <w:webHidden/>
              </w:rPr>
              <w:t>14</w:t>
            </w:r>
            <w:r w:rsidR="00033F0B">
              <w:rPr>
                <w:noProof/>
                <w:webHidden/>
              </w:rPr>
              <w:fldChar w:fldCharType="end"/>
            </w:r>
          </w:hyperlink>
        </w:p>
        <w:p w14:paraId="363589A2" w14:textId="4BC06AFA" w:rsidR="00033F0B" w:rsidRDefault="00A6496B">
          <w:pPr>
            <w:pStyle w:val="TOC3"/>
            <w:tabs>
              <w:tab w:val="left" w:pos="1100"/>
              <w:tab w:val="right" w:leader="dot" w:pos="9628"/>
            </w:tabs>
            <w:rPr>
              <w:rFonts w:asciiTheme="minorHAnsi" w:eastAsiaTheme="minorEastAsia" w:hAnsiTheme="minorHAnsi" w:cstheme="minorBidi"/>
              <w:noProof/>
              <w:sz w:val="24"/>
              <w:szCs w:val="24"/>
              <w:lang w:eastAsia="en-US"/>
            </w:rPr>
          </w:pPr>
          <w:hyperlink w:anchor="_Toc46949131" w:history="1">
            <w:r w:rsidR="00033F0B" w:rsidRPr="00AC7763">
              <w:rPr>
                <w:rStyle w:val="Hyperlink"/>
                <w:noProof/>
              </w:rPr>
              <w:t>2.3.</w:t>
            </w:r>
            <w:r w:rsidR="00033F0B">
              <w:rPr>
                <w:rFonts w:asciiTheme="minorHAnsi" w:eastAsiaTheme="minorEastAsia" w:hAnsiTheme="minorHAnsi" w:cstheme="minorBidi"/>
                <w:noProof/>
                <w:sz w:val="24"/>
                <w:szCs w:val="24"/>
                <w:lang w:eastAsia="en-US"/>
              </w:rPr>
              <w:tab/>
            </w:r>
            <w:r w:rsidR="00033F0B" w:rsidRPr="00AC7763">
              <w:rPr>
                <w:rStyle w:val="Hyperlink"/>
                <w:noProof/>
              </w:rPr>
              <w:t>Balancing risks with resident safety</w:t>
            </w:r>
            <w:r w:rsidR="00033F0B">
              <w:rPr>
                <w:noProof/>
                <w:webHidden/>
              </w:rPr>
              <w:tab/>
            </w:r>
            <w:r w:rsidR="00033F0B">
              <w:rPr>
                <w:noProof/>
                <w:webHidden/>
              </w:rPr>
              <w:fldChar w:fldCharType="begin"/>
            </w:r>
            <w:r w:rsidR="00033F0B">
              <w:rPr>
                <w:noProof/>
                <w:webHidden/>
              </w:rPr>
              <w:instrText xml:space="preserve"> PAGEREF _Toc46949131 \h </w:instrText>
            </w:r>
            <w:r w:rsidR="00033F0B">
              <w:rPr>
                <w:noProof/>
                <w:webHidden/>
              </w:rPr>
            </w:r>
            <w:r w:rsidR="00033F0B">
              <w:rPr>
                <w:noProof/>
                <w:webHidden/>
              </w:rPr>
              <w:fldChar w:fldCharType="separate"/>
            </w:r>
            <w:r w:rsidR="00D47E3C">
              <w:rPr>
                <w:noProof/>
                <w:webHidden/>
              </w:rPr>
              <w:t>16</w:t>
            </w:r>
            <w:r w:rsidR="00033F0B">
              <w:rPr>
                <w:noProof/>
                <w:webHidden/>
              </w:rPr>
              <w:fldChar w:fldCharType="end"/>
            </w:r>
          </w:hyperlink>
        </w:p>
        <w:p w14:paraId="3EEDCF23" w14:textId="134647B3" w:rsidR="00033F0B" w:rsidRDefault="00A6496B">
          <w:pPr>
            <w:pStyle w:val="TOC1"/>
            <w:tabs>
              <w:tab w:val="left" w:pos="440"/>
              <w:tab w:val="right" w:leader="dot" w:pos="9628"/>
            </w:tabs>
            <w:rPr>
              <w:rFonts w:asciiTheme="minorHAnsi" w:eastAsiaTheme="minorEastAsia" w:hAnsiTheme="minorHAnsi" w:cstheme="minorBidi"/>
              <w:noProof/>
              <w:sz w:val="24"/>
              <w:szCs w:val="24"/>
              <w:lang w:eastAsia="en-US"/>
            </w:rPr>
          </w:pPr>
          <w:hyperlink w:anchor="_Toc46949132" w:history="1">
            <w:r w:rsidR="00033F0B" w:rsidRPr="00AC7763">
              <w:rPr>
                <w:rStyle w:val="Hyperlink"/>
                <w:rFonts w:eastAsia="Times New Roman"/>
                <w:noProof/>
              </w:rPr>
              <w:t>3.</w:t>
            </w:r>
            <w:r w:rsidR="00033F0B">
              <w:rPr>
                <w:rFonts w:asciiTheme="minorHAnsi" w:eastAsiaTheme="minorEastAsia" w:hAnsiTheme="minorHAnsi" w:cstheme="minorBidi"/>
                <w:noProof/>
                <w:sz w:val="24"/>
                <w:szCs w:val="24"/>
                <w:lang w:eastAsia="en-US"/>
              </w:rPr>
              <w:tab/>
            </w:r>
            <w:r w:rsidR="00033F0B" w:rsidRPr="00AC7763">
              <w:rPr>
                <w:rStyle w:val="Hyperlink"/>
                <w:noProof/>
              </w:rPr>
              <w:t>The reality of public emergencies for people with disability</w:t>
            </w:r>
            <w:r w:rsidR="00033F0B">
              <w:rPr>
                <w:noProof/>
                <w:webHidden/>
              </w:rPr>
              <w:tab/>
            </w:r>
            <w:r w:rsidR="00033F0B">
              <w:rPr>
                <w:noProof/>
                <w:webHidden/>
              </w:rPr>
              <w:fldChar w:fldCharType="begin"/>
            </w:r>
            <w:r w:rsidR="00033F0B">
              <w:rPr>
                <w:noProof/>
                <w:webHidden/>
              </w:rPr>
              <w:instrText xml:space="preserve"> PAGEREF _Toc46949132 \h </w:instrText>
            </w:r>
            <w:r w:rsidR="00033F0B">
              <w:rPr>
                <w:noProof/>
                <w:webHidden/>
              </w:rPr>
            </w:r>
            <w:r w:rsidR="00033F0B">
              <w:rPr>
                <w:noProof/>
                <w:webHidden/>
              </w:rPr>
              <w:fldChar w:fldCharType="separate"/>
            </w:r>
            <w:r w:rsidR="00D47E3C">
              <w:rPr>
                <w:noProof/>
                <w:webHidden/>
              </w:rPr>
              <w:t>17</w:t>
            </w:r>
            <w:r w:rsidR="00033F0B">
              <w:rPr>
                <w:noProof/>
                <w:webHidden/>
              </w:rPr>
              <w:fldChar w:fldCharType="end"/>
            </w:r>
          </w:hyperlink>
        </w:p>
        <w:p w14:paraId="44304FE6" w14:textId="53323C75" w:rsidR="00033F0B" w:rsidRDefault="00A6496B">
          <w:pPr>
            <w:pStyle w:val="TOC3"/>
            <w:tabs>
              <w:tab w:val="left" w:pos="1100"/>
              <w:tab w:val="right" w:leader="dot" w:pos="9628"/>
            </w:tabs>
            <w:rPr>
              <w:rFonts w:asciiTheme="minorHAnsi" w:eastAsiaTheme="minorEastAsia" w:hAnsiTheme="minorHAnsi" w:cstheme="minorBidi"/>
              <w:noProof/>
              <w:sz w:val="24"/>
              <w:szCs w:val="24"/>
              <w:lang w:eastAsia="en-US"/>
            </w:rPr>
          </w:pPr>
          <w:hyperlink w:anchor="_Toc46949133" w:history="1">
            <w:r w:rsidR="00033F0B" w:rsidRPr="00AC7763">
              <w:rPr>
                <w:rStyle w:val="Hyperlink"/>
                <w:noProof/>
              </w:rPr>
              <w:t>3.1.</w:t>
            </w:r>
            <w:r w:rsidR="00033F0B">
              <w:rPr>
                <w:rFonts w:asciiTheme="minorHAnsi" w:eastAsiaTheme="minorEastAsia" w:hAnsiTheme="minorHAnsi" w:cstheme="minorBidi"/>
                <w:noProof/>
                <w:sz w:val="24"/>
                <w:szCs w:val="24"/>
                <w:lang w:eastAsia="en-US"/>
              </w:rPr>
              <w:tab/>
            </w:r>
            <w:r w:rsidR="00033F0B" w:rsidRPr="00AC7763">
              <w:rPr>
                <w:rStyle w:val="Hyperlink"/>
                <w:noProof/>
              </w:rPr>
              <w:t>No alternative accommodation in a crisis</w:t>
            </w:r>
            <w:r w:rsidR="00033F0B">
              <w:rPr>
                <w:noProof/>
                <w:webHidden/>
              </w:rPr>
              <w:tab/>
            </w:r>
            <w:r w:rsidR="00033F0B">
              <w:rPr>
                <w:noProof/>
                <w:webHidden/>
              </w:rPr>
              <w:fldChar w:fldCharType="begin"/>
            </w:r>
            <w:r w:rsidR="00033F0B">
              <w:rPr>
                <w:noProof/>
                <w:webHidden/>
              </w:rPr>
              <w:instrText xml:space="preserve"> PAGEREF _Toc46949133 \h </w:instrText>
            </w:r>
            <w:r w:rsidR="00033F0B">
              <w:rPr>
                <w:noProof/>
                <w:webHidden/>
              </w:rPr>
            </w:r>
            <w:r w:rsidR="00033F0B">
              <w:rPr>
                <w:noProof/>
                <w:webHidden/>
              </w:rPr>
              <w:fldChar w:fldCharType="separate"/>
            </w:r>
            <w:r w:rsidR="00D47E3C">
              <w:rPr>
                <w:noProof/>
                <w:webHidden/>
              </w:rPr>
              <w:t>18</w:t>
            </w:r>
            <w:r w:rsidR="00033F0B">
              <w:rPr>
                <w:noProof/>
                <w:webHidden/>
              </w:rPr>
              <w:fldChar w:fldCharType="end"/>
            </w:r>
          </w:hyperlink>
        </w:p>
        <w:p w14:paraId="0C7610C3" w14:textId="26B9FD21" w:rsidR="00033F0B" w:rsidRDefault="00A6496B">
          <w:pPr>
            <w:pStyle w:val="TOC3"/>
            <w:tabs>
              <w:tab w:val="left" w:pos="1100"/>
              <w:tab w:val="right" w:leader="dot" w:pos="9628"/>
            </w:tabs>
            <w:rPr>
              <w:rFonts w:asciiTheme="minorHAnsi" w:eastAsiaTheme="minorEastAsia" w:hAnsiTheme="minorHAnsi" w:cstheme="minorBidi"/>
              <w:noProof/>
              <w:sz w:val="24"/>
              <w:szCs w:val="24"/>
              <w:lang w:eastAsia="en-US"/>
            </w:rPr>
          </w:pPr>
          <w:hyperlink w:anchor="_Toc46949134" w:history="1">
            <w:r w:rsidR="00033F0B" w:rsidRPr="00AC7763">
              <w:rPr>
                <w:rStyle w:val="Hyperlink"/>
                <w:noProof/>
              </w:rPr>
              <w:t>3.2.</w:t>
            </w:r>
            <w:r w:rsidR="00033F0B">
              <w:rPr>
                <w:rFonts w:asciiTheme="minorHAnsi" w:eastAsiaTheme="minorEastAsia" w:hAnsiTheme="minorHAnsi" w:cstheme="minorBidi"/>
                <w:noProof/>
                <w:sz w:val="24"/>
                <w:szCs w:val="24"/>
                <w:lang w:eastAsia="en-US"/>
              </w:rPr>
              <w:tab/>
            </w:r>
            <w:r w:rsidR="00033F0B" w:rsidRPr="00AC7763">
              <w:rPr>
                <w:rStyle w:val="Hyperlink"/>
                <w:noProof/>
              </w:rPr>
              <w:t>Homelessness and the pandemic</w:t>
            </w:r>
            <w:r w:rsidR="00033F0B">
              <w:rPr>
                <w:noProof/>
                <w:webHidden/>
              </w:rPr>
              <w:tab/>
            </w:r>
            <w:r w:rsidR="00033F0B">
              <w:rPr>
                <w:noProof/>
                <w:webHidden/>
              </w:rPr>
              <w:fldChar w:fldCharType="begin"/>
            </w:r>
            <w:r w:rsidR="00033F0B">
              <w:rPr>
                <w:noProof/>
                <w:webHidden/>
              </w:rPr>
              <w:instrText xml:space="preserve"> PAGEREF _Toc46949134 \h </w:instrText>
            </w:r>
            <w:r w:rsidR="00033F0B">
              <w:rPr>
                <w:noProof/>
                <w:webHidden/>
              </w:rPr>
            </w:r>
            <w:r w:rsidR="00033F0B">
              <w:rPr>
                <w:noProof/>
                <w:webHidden/>
              </w:rPr>
              <w:fldChar w:fldCharType="separate"/>
            </w:r>
            <w:r w:rsidR="00D47E3C">
              <w:rPr>
                <w:noProof/>
                <w:webHidden/>
              </w:rPr>
              <w:t>20</w:t>
            </w:r>
            <w:r w:rsidR="00033F0B">
              <w:rPr>
                <w:noProof/>
                <w:webHidden/>
              </w:rPr>
              <w:fldChar w:fldCharType="end"/>
            </w:r>
          </w:hyperlink>
        </w:p>
        <w:p w14:paraId="286DB307" w14:textId="0F651CE4" w:rsidR="00033F0B" w:rsidRDefault="00A6496B">
          <w:pPr>
            <w:pStyle w:val="TOC3"/>
            <w:tabs>
              <w:tab w:val="left" w:pos="1100"/>
              <w:tab w:val="right" w:leader="dot" w:pos="9628"/>
            </w:tabs>
            <w:rPr>
              <w:rFonts w:asciiTheme="minorHAnsi" w:eastAsiaTheme="minorEastAsia" w:hAnsiTheme="minorHAnsi" w:cstheme="minorBidi"/>
              <w:noProof/>
              <w:sz w:val="24"/>
              <w:szCs w:val="24"/>
              <w:lang w:eastAsia="en-US"/>
            </w:rPr>
          </w:pPr>
          <w:hyperlink w:anchor="_Toc46949135" w:history="1">
            <w:r w:rsidR="00033F0B" w:rsidRPr="00AC7763">
              <w:rPr>
                <w:rStyle w:val="Hyperlink"/>
                <w:noProof/>
              </w:rPr>
              <w:t>3.3.</w:t>
            </w:r>
            <w:r w:rsidR="00033F0B">
              <w:rPr>
                <w:rFonts w:asciiTheme="minorHAnsi" w:eastAsiaTheme="minorEastAsia" w:hAnsiTheme="minorHAnsi" w:cstheme="minorBidi"/>
                <w:noProof/>
                <w:sz w:val="24"/>
                <w:szCs w:val="24"/>
                <w:lang w:eastAsia="en-US"/>
              </w:rPr>
              <w:tab/>
            </w:r>
            <w:r w:rsidR="00033F0B" w:rsidRPr="00AC7763">
              <w:rPr>
                <w:rStyle w:val="Hyperlink"/>
                <w:noProof/>
              </w:rPr>
              <w:t>People with disability living in poverty</w:t>
            </w:r>
            <w:r w:rsidR="00033F0B">
              <w:rPr>
                <w:noProof/>
                <w:webHidden/>
              </w:rPr>
              <w:tab/>
            </w:r>
            <w:r w:rsidR="00033F0B">
              <w:rPr>
                <w:noProof/>
                <w:webHidden/>
              </w:rPr>
              <w:fldChar w:fldCharType="begin"/>
            </w:r>
            <w:r w:rsidR="00033F0B">
              <w:rPr>
                <w:noProof/>
                <w:webHidden/>
              </w:rPr>
              <w:instrText xml:space="preserve"> PAGEREF _Toc46949135 \h </w:instrText>
            </w:r>
            <w:r w:rsidR="00033F0B">
              <w:rPr>
                <w:noProof/>
                <w:webHidden/>
              </w:rPr>
            </w:r>
            <w:r w:rsidR="00033F0B">
              <w:rPr>
                <w:noProof/>
                <w:webHidden/>
              </w:rPr>
              <w:fldChar w:fldCharType="separate"/>
            </w:r>
            <w:r w:rsidR="00D47E3C">
              <w:rPr>
                <w:noProof/>
                <w:webHidden/>
              </w:rPr>
              <w:t>21</w:t>
            </w:r>
            <w:r w:rsidR="00033F0B">
              <w:rPr>
                <w:noProof/>
                <w:webHidden/>
              </w:rPr>
              <w:fldChar w:fldCharType="end"/>
            </w:r>
          </w:hyperlink>
        </w:p>
        <w:p w14:paraId="1379D123" w14:textId="0F11104C" w:rsidR="00033F0B" w:rsidRDefault="00A6496B">
          <w:pPr>
            <w:pStyle w:val="TOC1"/>
            <w:tabs>
              <w:tab w:val="left" w:pos="440"/>
              <w:tab w:val="right" w:leader="dot" w:pos="9628"/>
            </w:tabs>
            <w:rPr>
              <w:rFonts w:asciiTheme="minorHAnsi" w:eastAsiaTheme="minorEastAsia" w:hAnsiTheme="minorHAnsi" w:cstheme="minorBidi"/>
              <w:noProof/>
              <w:sz w:val="24"/>
              <w:szCs w:val="24"/>
              <w:lang w:eastAsia="en-US"/>
            </w:rPr>
          </w:pPr>
          <w:hyperlink w:anchor="_Toc46949136" w:history="1">
            <w:r w:rsidR="00033F0B" w:rsidRPr="00AC7763">
              <w:rPr>
                <w:rStyle w:val="Hyperlink"/>
                <w:rFonts w:eastAsia="Times New Roman"/>
                <w:noProof/>
              </w:rPr>
              <w:t>4.</w:t>
            </w:r>
            <w:r w:rsidR="00033F0B">
              <w:rPr>
                <w:rFonts w:asciiTheme="minorHAnsi" w:eastAsiaTheme="minorEastAsia" w:hAnsiTheme="minorHAnsi" w:cstheme="minorBidi"/>
                <w:noProof/>
                <w:sz w:val="24"/>
                <w:szCs w:val="24"/>
                <w:lang w:eastAsia="en-US"/>
              </w:rPr>
              <w:tab/>
            </w:r>
            <w:r w:rsidR="00033F0B" w:rsidRPr="00AC7763">
              <w:rPr>
                <w:rStyle w:val="Hyperlink"/>
                <w:noProof/>
              </w:rPr>
              <w:t>Accessing disability services during a public emergency</w:t>
            </w:r>
            <w:r w:rsidR="00033F0B">
              <w:rPr>
                <w:noProof/>
                <w:webHidden/>
              </w:rPr>
              <w:tab/>
            </w:r>
            <w:r w:rsidR="00033F0B">
              <w:rPr>
                <w:noProof/>
                <w:webHidden/>
              </w:rPr>
              <w:fldChar w:fldCharType="begin"/>
            </w:r>
            <w:r w:rsidR="00033F0B">
              <w:rPr>
                <w:noProof/>
                <w:webHidden/>
              </w:rPr>
              <w:instrText xml:space="preserve"> PAGEREF _Toc46949136 \h </w:instrText>
            </w:r>
            <w:r w:rsidR="00033F0B">
              <w:rPr>
                <w:noProof/>
                <w:webHidden/>
              </w:rPr>
            </w:r>
            <w:r w:rsidR="00033F0B">
              <w:rPr>
                <w:noProof/>
                <w:webHidden/>
              </w:rPr>
              <w:fldChar w:fldCharType="separate"/>
            </w:r>
            <w:r w:rsidR="00D47E3C">
              <w:rPr>
                <w:noProof/>
                <w:webHidden/>
              </w:rPr>
              <w:t>21</w:t>
            </w:r>
            <w:r w:rsidR="00033F0B">
              <w:rPr>
                <w:noProof/>
                <w:webHidden/>
              </w:rPr>
              <w:fldChar w:fldCharType="end"/>
            </w:r>
          </w:hyperlink>
        </w:p>
        <w:p w14:paraId="4358EB08" w14:textId="648C9BDC" w:rsidR="00033F0B" w:rsidRDefault="00A6496B">
          <w:pPr>
            <w:pStyle w:val="TOC3"/>
            <w:tabs>
              <w:tab w:val="left" w:pos="1100"/>
              <w:tab w:val="right" w:leader="dot" w:pos="9628"/>
            </w:tabs>
            <w:rPr>
              <w:rFonts w:asciiTheme="minorHAnsi" w:eastAsiaTheme="minorEastAsia" w:hAnsiTheme="minorHAnsi" w:cstheme="minorBidi"/>
              <w:noProof/>
              <w:sz w:val="24"/>
              <w:szCs w:val="24"/>
              <w:lang w:eastAsia="en-US"/>
            </w:rPr>
          </w:pPr>
          <w:hyperlink w:anchor="_Toc46949137" w:history="1">
            <w:r w:rsidR="00033F0B" w:rsidRPr="00AC7763">
              <w:rPr>
                <w:rStyle w:val="Hyperlink"/>
                <w:noProof/>
              </w:rPr>
              <w:t>4.1.</w:t>
            </w:r>
            <w:r w:rsidR="00033F0B">
              <w:rPr>
                <w:rFonts w:asciiTheme="minorHAnsi" w:eastAsiaTheme="minorEastAsia" w:hAnsiTheme="minorHAnsi" w:cstheme="minorBidi"/>
                <w:noProof/>
                <w:sz w:val="24"/>
                <w:szCs w:val="24"/>
                <w:lang w:eastAsia="en-US"/>
              </w:rPr>
              <w:tab/>
            </w:r>
            <w:r w:rsidR="00033F0B" w:rsidRPr="00AC7763">
              <w:rPr>
                <w:rStyle w:val="Hyperlink"/>
                <w:noProof/>
              </w:rPr>
              <w:t>Congregate care settings</w:t>
            </w:r>
            <w:r w:rsidR="00033F0B">
              <w:rPr>
                <w:noProof/>
                <w:webHidden/>
              </w:rPr>
              <w:tab/>
            </w:r>
            <w:r w:rsidR="00033F0B">
              <w:rPr>
                <w:noProof/>
                <w:webHidden/>
              </w:rPr>
              <w:fldChar w:fldCharType="begin"/>
            </w:r>
            <w:r w:rsidR="00033F0B">
              <w:rPr>
                <w:noProof/>
                <w:webHidden/>
              </w:rPr>
              <w:instrText xml:space="preserve"> PAGEREF _Toc46949137 \h </w:instrText>
            </w:r>
            <w:r w:rsidR="00033F0B">
              <w:rPr>
                <w:noProof/>
                <w:webHidden/>
              </w:rPr>
            </w:r>
            <w:r w:rsidR="00033F0B">
              <w:rPr>
                <w:noProof/>
                <w:webHidden/>
              </w:rPr>
              <w:fldChar w:fldCharType="separate"/>
            </w:r>
            <w:r w:rsidR="00D47E3C">
              <w:rPr>
                <w:noProof/>
                <w:webHidden/>
              </w:rPr>
              <w:t>22</w:t>
            </w:r>
            <w:r w:rsidR="00033F0B">
              <w:rPr>
                <w:noProof/>
                <w:webHidden/>
              </w:rPr>
              <w:fldChar w:fldCharType="end"/>
            </w:r>
          </w:hyperlink>
        </w:p>
        <w:p w14:paraId="453D580A" w14:textId="2FB1F31B" w:rsidR="00033F0B" w:rsidRDefault="00A6496B">
          <w:pPr>
            <w:pStyle w:val="TOC3"/>
            <w:tabs>
              <w:tab w:val="left" w:pos="1100"/>
              <w:tab w:val="right" w:leader="dot" w:pos="9628"/>
            </w:tabs>
            <w:rPr>
              <w:rFonts w:asciiTheme="minorHAnsi" w:eastAsiaTheme="minorEastAsia" w:hAnsiTheme="minorHAnsi" w:cstheme="minorBidi"/>
              <w:noProof/>
              <w:sz w:val="24"/>
              <w:szCs w:val="24"/>
              <w:lang w:eastAsia="en-US"/>
            </w:rPr>
          </w:pPr>
          <w:hyperlink w:anchor="_Toc46949138" w:history="1">
            <w:r w:rsidR="00033F0B" w:rsidRPr="00AC7763">
              <w:rPr>
                <w:rStyle w:val="Hyperlink"/>
                <w:noProof/>
              </w:rPr>
              <w:t>4.2.</w:t>
            </w:r>
            <w:r w:rsidR="00033F0B">
              <w:rPr>
                <w:rFonts w:asciiTheme="minorHAnsi" w:eastAsiaTheme="minorEastAsia" w:hAnsiTheme="minorHAnsi" w:cstheme="minorBidi"/>
                <w:noProof/>
                <w:sz w:val="24"/>
                <w:szCs w:val="24"/>
                <w:lang w:eastAsia="en-US"/>
              </w:rPr>
              <w:tab/>
            </w:r>
            <w:r w:rsidR="00033F0B" w:rsidRPr="00AC7763">
              <w:rPr>
                <w:rStyle w:val="Hyperlink"/>
                <w:noProof/>
              </w:rPr>
              <w:t>Non-residential services</w:t>
            </w:r>
            <w:r w:rsidR="00033F0B">
              <w:rPr>
                <w:noProof/>
                <w:webHidden/>
              </w:rPr>
              <w:tab/>
            </w:r>
            <w:r w:rsidR="00033F0B">
              <w:rPr>
                <w:noProof/>
                <w:webHidden/>
              </w:rPr>
              <w:fldChar w:fldCharType="begin"/>
            </w:r>
            <w:r w:rsidR="00033F0B">
              <w:rPr>
                <w:noProof/>
                <w:webHidden/>
              </w:rPr>
              <w:instrText xml:space="preserve"> PAGEREF _Toc46949138 \h </w:instrText>
            </w:r>
            <w:r w:rsidR="00033F0B">
              <w:rPr>
                <w:noProof/>
                <w:webHidden/>
              </w:rPr>
            </w:r>
            <w:r w:rsidR="00033F0B">
              <w:rPr>
                <w:noProof/>
                <w:webHidden/>
              </w:rPr>
              <w:fldChar w:fldCharType="separate"/>
            </w:r>
            <w:r w:rsidR="00D47E3C">
              <w:rPr>
                <w:noProof/>
                <w:webHidden/>
              </w:rPr>
              <w:t>26</w:t>
            </w:r>
            <w:r w:rsidR="00033F0B">
              <w:rPr>
                <w:noProof/>
                <w:webHidden/>
              </w:rPr>
              <w:fldChar w:fldCharType="end"/>
            </w:r>
          </w:hyperlink>
        </w:p>
        <w:p w14:paraId="5D675212" w14:textId="0FC7F79D" w:rsidR="00033F0B" w:rsidRDefault="00A6496B">
          <w:pPr>
            <w:pStyle w:val="TOC1"/>
            <w:tabs>
              <w:tab w:val="left" w:pos="440"/>
              <w:tab w:val="right" w:leader="dot" w:pos="9628"/>
            </w:tabs>
            <w:rPr>
              <w:rFonts w:asciiTheme="minorHAnsi" w:eastAsiaTheme="minorEastAsia" w:hAnsiTheme="minorHAnsi" w:cstheme="minorBidi"/>
              <w:noProof/>
              <w:sz w:val="24"/>
              <w:szCs w:val="24"/>
              <w:lang w:eastAsia="en-US"/>
            </w:rPr>
          </w:pPr>
          <w:hyperlink w:anchor="_Toc46949139" w:history="1">
            <w:r w:rsidR="00033F0B" w:rsidRPr="00AC7763">
              <w:rPr>
                <w:rStyle w:val="Hyperlink"/>
                <w:rFonts w:eastAsia="Times New Roman"/>
                <w:noProof/>
              </w:rPr>
              <w:t>5.</w:t>
            </w:r>
            <w:r w:rsidR="00033F0B">
              <w:rPr>
                <w:rFonts w:asciiTheme="minorHAnsi" w:eastAsiaTheme="minorEastAsia" w:hAnsiTheme="minorHAnsi" w:cstheme="minorBidi"/>
                <w:noProof/>
                <w:sz w:val="24"/>
                <w:szCs w:val="24"/>
                <w:lang w:eastAsia="en-US"/>
              </w:rPr>
              <w:tab/>
            </w:r>
            <w:r w:rsidR="00033F0B" w:rsidRPr="00AC7763">
              <w:rPr>
                <w:rStyle w:val="Hyperlink"/>
                <w:noProof/>
              </w:rPr>
              <w:t>Mainstream services and the pandemic</w:t>
            </w:r>
            <w:r w:rsidR="00033F0B">
              <w:rPr>
                <w:noProof/>
                <w:webHidden/>
              </w:rPr>
              <w:tab/>
            </w:r>
            <w:r w:rsidR="00033F0B">
              <w:rPr>
                <w:noProof/>
                <w:webHidden/>
              </w:rPr>
              <w:fldChar w:fldCharType="begin"/>
            </w:r>
            <w:r w:rsidR="00033F0B">
              <w:rPr>
                <w:noProof/>
                <w:webHidden/>
              </w:rPr>
              <w:instrText xml:space="preserve"> PAGEREF _Toc46949139 \h </w:instrText>
            </w:r>
            <w:r w:rsidR="00033F0B">
              <w:rPr>
                <w:noProof/>
                <w:webHidden/>
              </w:rPr>
            </w:r>
            <w:r w:rsidR="00033F0B">
              <w:rPr>
                <w:noProof/>
                <w:webHidden/>
              </w:rPr>
              <w:fldChar w:fldCharType="separate"/>
            </w:r>
            <w:r w:rsidR="00D47E3C">
              <w:rPr>
                <w:noProof/>
                <w:webHidden/>
              </w:rPr>
              <w:t>27</w:t>
            </w:r>
            <w:r w:rsidR="00033F0B">
              <w:rPr>
                <w:noProof/>
                <w:webHidden/>
              </w:rPr>
              <w:fldChar w:fldCharType="end"/>
            </w:r>
          </w:hyperlink>
        </w:p>
        <w:p w14:paraId="5FC45F98" w14:textId="288EB9C0" w:rsidR="00033F0B" w:rsidRDefault="00A6496B">
          <w:pPr>
            <w:pStyle w:val="TOC3"/>
            <w:tabs>
              <w:tab w:val="left" w:pos="1100"/>
              <w:tab w:val="right" w:leader="dot" w:pos="9628"/>
            </w:tabs>
            <w:rPr>
              <w:rFonts w:asciiTheme="minorHAnsi" w:eastAsiaTheme="minorEastAsia" w:hAnsiTheme="minorHAnsi" w:cstheme="minorBidi"/>
              <w:noProof/>
              <w:sz w:val="24"/>
              <w:szCs w:val="24"/>
              <w:lang w:eastAsia="en-US"/>
            </w:rPr>
          </w:pPr>
          <w:hyperlink w:anchor="_Toc46949140" w:history="1">
            <w:r w:rsidR="00033F0B" w:rsidRPr="00AC7763">
              <w:rPr>
                <w:rStyle w:val="Hyperlink"/>
                <w:noProof/>
              </w:rPr>
              <w:t>5.1.</w:t>
            </w:r>
            <w:r w:rsidR="00033F0B">
              <w:rPr>
                <w:rFonts w:asciiTheme="minorHAnsi" w:eastAsiaTheme="minorEastAsia" w:hAnsiTheme="minorHAnsi" w:cstheme="minorBidi"/>
                <w:noProof/>
                <w:sz w:val="24"/>
                <w:szCs w:val="24"/>
                <w:lang w:eastAsia="en-US"/>
              </w:rPr>
              <w:tab/>
            </w:r>
            <w:r w:rsidR="00033F0B" w:rsidRPr="00AC7763">
              <w:rPr>
                <w:rStyle w:val="Hyperlink"/>
                <w:noProof/>
              </w:rPr>
              <w:t>Health care settings</w:t>
            </w:r>
            <w:r w:rsidR="00033F0B">
              <w:rPr>
                <w:noProof/>
                <w:webHidden/>
              </w:rPr>
              <w:tab/>
            </w:r>
            <w:r w:rsidR="00033F0B">
              <w:rPr>
                <w:noProof/>
                <w:webHidden/>
              </w:rPr>
              <w:fldChar w:fldCharType="begin"/>
            </w:r>
            <w:r w:rsidR="00033F0B">
              <w:rPr>
                <w:noProof/>
                <w:webHidden/>
              </w:rPr>
              <w:instrText xml:space="preserve"> PAGEREF _Toc46949140 \h </w:instrText>
            </w:r>
            <w:r w:rsidR="00033F0B">
              <w:rPr>
                <w:noProof/>
                <w:webHidden/>
              </w:rPr>
            </w:r>
            <w:r w:rsidR="00033F0B">
              <w:rPr>
                <w:noProof/>
                <w:webHidden/>
              </w:rPr>
              <w:fldChar w:fldCharType="separate"/>
            </w:r>
            <w:r w:rsidR="00D47E3C">
              <w:rPr>
                <w:noProof/>
                <w:webHidden/>
              </w:rPr>
              <w:t>27</w:t>
            </w:r>
            <w:r w:rsidR="00033F0B">
              <w:rPr>
                <w:noProof/>
                <w:webHidden/>
              </w:rPr>
              <w:fldChar w:fldCharType="end"/>
            </w:r>
          </w:hyperlink>
        </w:p>
        <w:p w14:paraId="0B942902" w14:textId="644F98B9" w:rsidR="00033F0B" w:rsidRDefault="00A6496B">
          <w:pPr>
            <w:pStyle w:val="TOC3"/>
            <w:tabs>
              <w:tab w:val="left" w:pos="1100"/>
              <w:tab w:val="right" w:leader="dot" w:pos="9628"/>
            </w:tabs>
            <w:rPr>
              <w:rFonts w:asciiTheme="minorHAnsi" w:eastAsiaTheme="minorEastAsia" w:hAnsiTheme="minorHAnsi" w:cstheme="minorBidi"/>
              <w:noProof/>
              <w:sz w:val="24"/>
              <w:szCs w:val="24"/>
              <w:lang w:eastAsia="en-US"/>
            </w:rPr>
          </w:pPr>
          <w:hyperlink w:anchor="_Toc46949141" w:history="1">
            <w:r w:rsidR="00033F0B" w:rsidRPr="00AC7763">
              <w:rPr>
                <w:rStyle w:val="Hyperlink"/>
                <w:noProof/>
              </w:rPr>
              <w:t>5.2.</w:t>
            </w:r>
            <w:r w:rsidR="00033F0B">
              <w:rPr>
                <w:rFonts w:asciiTheme="minorHAnsi" w:eastAsiaTheme="minorEastAsia" w:hAnsiTheme="minorHAnsi" w:cstheme="minorBidi"/>
                <w:noProof/>
                <w:sz w:val="24"/>
                <w:szCs w:val="24"/>
                <w:lang w:eastAsia="en-US"/>
              </w:rPr>
              <w:tab/>
            </w:r>
            <w:r w:rsidR="00033F0B" w:rsidRPr="00AC7763">
              <w:rPr>
                <w:rStyle w:val="Hyperlink"/>
                <w:noProof/>
              </w:rPr>
              <w:t>Justice settings</w:t>
            </w:r>
            <w:r w:rsidR="00033F0B">
              <w:rPr>
                <w:noProof/>
                <w:webHidden/>
              </w:rPr>
              <w:tab/>
            </w:r>
            <w:r w:rsidR="00033F0B">
              <w:rPr>
                <w:noProof/>
                <w:webHidden/>
              </w:rPr>
              <w:fldChar w:fldCharType="begin"/>
            </w:r>
            <w:r w:rsidR="00033F0B">
              <w:rPr>
                <w:noProof/>
                <w:webHidden/>
              </w:rPr>
              <w:instrText xml:space="preserve"> PAGEREF _Toc46949141 \h </w:instrText>
            </w:r>
            <w:r w:rsidR="00033F0B">
              <w:rPr>
                <w:noProof/>
                <w:webHidden/>
              </w:rPr>
            </w:r>
            <w:r w:rsidR="00033F0B">
              <w:rPr>
                <w:noProof/>
                <w:webHidden/>
              </w:rPr>
              <w:fldChar w:fldCharType="separate"/>
            </w:r>
            <w:r w:rsidR="00D47E3C">
              <w:rPr>
                <w:noProof/>
                <w:webHidden/>
              </w:rPr>
              <w:t>29</w:t>
            </w:r>
            <w:r w:rsidR="00033F0B">
              <w:rPr>
                <w:noProof/>
                <w:webHidden/>
              </w:rPr>
              <w:fldChar w:fldCharType="end"/>
            </w:r>
          </w:hyperlink>
        </w:p>
        <w:p w14:paraId="4DF5DC96" w14:textId="7103071A" w:rsidR="00033F0B" w:rsidRDefault="00A6496B">
          <w:pPr>
            <w:pStyle w:val="TOC3"/>
            <w:tabs>
              <w:tab w:val="left" w:pos="1100"/>
              <w:tab w:val="right" w:leader="dot" w:pos="9628"/>
            </w:tabs>
            <w:rPr>
              <w:rFonts w:asciiTheme="minorHAnsi" w:eastAsiaTheme="minorEastAsia" w:hAnsiTheme="minorHAnsi" w:cstheme="minorBidi"/>
              <w:noProof/>
              <w:sz w:val="24"/>
              <w:szCs w:val="24"/>
              <w:lang w:eastAsia="en-US"/>
            </w:rPr>
          </w:pPr>
          <w:hyperlink w:anchor="_Toc46949142" w:history="1">
            <w:r w:rsidR="00033F0B" w:rsidRPr="00AC7763">
              <w:rPr>
                <w:rStyle w:val="Hyperlink"/>
                <w:noProof/>
              </w:rPr>
              <w:t>5.3.</w:t>
            </w:r>
            <w:r w:rsidR="00033F0B">
              <w:rPr>
                <w:rFonts w:asciiTheme="minorHAnsi" w:eastAsiaTheme="minorEastAsia" w:hAnsiTheme="minorHAnsi" w:cstheme="minorBidi"/>
                <w:noProof/>
                <w:sz w:val="24"/>
                <w:szCs w:val="24"/>
                <w:lang w:eastAsia="en-US"/>
              </w:rPr>
              <w:tab/>
            </w:r>
            <w:r w:rsidR="00033F0B" w:rsidRPr="00AC7763">
              <w:rPr>
                <w:rStyle w:val="Hyperlink"/>
                <w:noProof/>
              </w:rPr>
              <w:t>Child protection</w:t>
            </w:r>
            <w:r w:rsidR="00033F0B">
              <w:rPr>
                <w:noProof/>
                <w:webHidden/>
              </w:rPr>
              <w:tab/>
            </w:r>
            <w:r w:rsidR="00033F0B">
              <w:rPr>
                <w:noProof/>
                <w:webHidden/>
              </w:rPr>
              <w:fldChar w:fldCharType="begin"/>
            </w:r>
            <w:r w:rsidR="00033F0B">
              <w:rPr>
                <w:noProof/>
                <w:webHidden/>
              </w:rPr>
              <w:instrText xml:space="preserve"> PAGEREF _Toc46949142 \h </w:instrText>
            </w:r>
            <w:r w:rsidR="00033F0B">
              <w:rPr>
                <w:noProof/>
                <w:webHidden/>
              </w:rPr>
            </w:r>
            <w:r w:rsidR="00033F0B">
              <w:rPr>
                <w:noProof/>
                <w:webHidden/>
              </w:rPr>
              <w:fldChar w:fldCharType="separate"/>
            </w:r>
            <w:r w:rsidR="00D47E3C">
              <w:rPr>
                <w:noProof/>
                <w:webHidden/>
              </w:rPr>
              <w:t>29</w:t>
            </w:r>
            <w:r w:rsidR="00033F0B">
              <w:rPr>
                <w:noProof/>
                <w:webHidden/>
              </w:rPr>
              <w:fldChar w:fldCharType="end"/>
            </w:r>
          </w:hyperlink>
        </w:p>
        <w:p w14:paraId="6C1C3C6F" w14:textId="1E2F378A" w:rsidR="00033F0B" w:rsidRDefault="00A6496B">
          <w:pPr>
            <w:pStyle w:val="TOC1"/>
            <w:tabs>
              <w:tab w:val="left" w:pos="440"/>
              <w:tab w:val="right" w:leader="dot" w:pos="9628"/>
            </w:tabs>
            <w:rPr>
              <w:rFonts w:asciiTheme="minorHAnsi" w:eastAsiaTheme="minorEastAsia" w:hAnsiTheme="minorHAnsi" w:cstheme="minorBidi"/>
              <w:noProof/>
              <w:sz w:val="24"/>
              <w:szCs w:val="24"/>
              <w:lang w:eastAsia="en-US"/>
            </w:rPr>
          </w:pPr>
          <w:hyperlink w:anchor="_Toc46949143" w:history="1">
            <w:r w:rsidR="00033F0B" w:rsidRPr="00AC7763">
              <w:rPr>
                <w:rStyle w:val="Hyperlink"/>
                <w:rFonts w:eastAsia="Times New Roman"/>
                <w:noProof/>
              </w:rPr>
              <w:t>6.</w:t>
            </w:r>
            <w:r w:rsidR="00033F0B">
              <w:rPr>
                <w:rFonts w:asciiTheme="minorHAnsi" w:eastAsiaTheme="minorEastAsia" w:hAnsiTheme="minorHAnsi" w:cstheme="minorBidi"/>
                <w:noProof/>
                <w:sz w:val="24"/>
                <w:szCs w:val="24"/>
                <w:lang w:eastAsia="en-US"/>
              </w:rPr>
              <w:tab/>
            </w:r>
            <w:r w:rsidR="00033F0B" w:rsidRPr="00AC7763">
              <w:rPr>
                <w:rStyle w:val="Hyperlink"/>
                <w:noProof/>
              </w:rPr>
              <w:t>Safeguarding in a crisis</w:t>
            </w:r>
            <w:r w:rsidR="00033F0B">
              <w:rPr>
                <w:noProof/>
                <w:webHidden/>
              </w:rPr>
              <w:tab/>
            </w:r>
            <w:r w:rsidR="00033F0B">
              <w:rPr>
                <w:noProof/>
                <w:webHidden/>
              </w:rPr>
              <w:fldChar w:fldCharType="begin"/>
            </w:r>
            <w:r w:rsidR="00033F0B">
              <w:rPr>
                <w:noProof/>
                <w:webHidden/>
              </w:rPr>
              <w:instrText xml:space="preserve"> PAGEREF _Toc46949143 \h </w:instrText>
            </w:r>
            <w:r w:rsidR="00033F0B">
              <w:rPr>
                <w:noProof/>
                <w:webHidden/>
              </w:rPr>
            </w:r>
            <w:r w:rsidR="00033F0B">
              <w:rPr>
                <w:noProof/>
                <w:webHidden/>
              </w:rPr>
              <w:fldChar w:fldCharType="separate"/>
            </w:r>
            <w:r w:rsidR="00D47E3C">
              <w:rPr>
                <w:noProof/>
                <w:webHidden/>
              </w:rPr>
              <w:t>30</w:t>
            </w:r>
            <w:r w:rsidR="00033F0B">
              <w:rPr>
                <w:noProof/>
                <w:webHidden/>
              </w:rPr>
              <w:fldChar w:fldCharType="end"/>
            </w:r>
          </w:hyperlink>
        </w:p>
        <w:p w14:paraId="12475547" w14:textId="06768EE3" w:rsidR="00033F0B" w:rsidRDefault="00A6496B">
          <w:pPr>
            <w:pStyle w:val="TOC3"/>
            <w:tabs>
              <w:tab w:val="left" w:pos="1100"/>
              <w:tab w:val="right" w:leader="dot" w:pos="9628"/>
            </w:tabs>
            <w:rPr>
              <w:rFonts w:asciiTheme="minorHAnsi" w:eastAsiaTheme="minorEastAsia" w:hAnsiTheme="minorHAnsi" w:cstheme="minorBidi"/>
              <w:noProof/>
              <w:sz w:val="24"/>
              <w:szCs w:val="24"/>
              <w:lang w:eastAsia="en-US"/>
            </w:rPr>
          </w:pPr>
          <w:hyperlink w:anchor="_Toc46949144" w:history="1">
            <w:r w:rsidR="00033F0B" w:rsidRPr="00AC7763">
              <w:rPr>
                <w:rStyle w:val="Hyperlink"/>
                <w:noProof/>
              </w:rPr>
              <w:t>6.1.</w:t>
            </w:r>
            <w:r w:rsidR="00033F0B">
              <w:rPr>
                <w:rFonts w:asciiTheme="minorHAnsi" w:eastAsiaTheme="minorEastAsia" w:hAnsiTheme="minorHAnsi" w:cstheme="minorBidi"/>
                <w:noProof/>
                <w:sz w:val="24"/>
                <w:szCs w:val="24"/>
                <w:lang w:eastAsia="en-US"/>
              </w:rPr>
              <w:tab/>
            </w:r>
            <w:r w:rsidR="00033F0B" w:rsidRPr="00AC7763">
              <w:rPr>
                <w:rStyle w:val="Hyperlink"/>
                <w:noProof/>
              </w:rPr>
              <w:t>Guardianship</w:t>
            </w:r>
            <w:r w:rsidR="00033F0B">
              <w:rPr>
                <w:noProof/>
                <w:webHidden/>
              </w:rPr>
              <w:tab/>
            </w:r>
            <w:r w:rsidR="00033F0B">
              <w:rPr>
                <w:noProof/>
                <w:webHidden/>
              </w:rPr>
              <w:fldChar w:fldCharType="begin"/>
            </w:r>
            <w:r w:rsidR="00033F0B">
              <w:rPr>
                <w:noProof/>
                <w:webHidden/>
              </w:rPr>
              <w:instrText xml:space="preserve"> PAGEREF _Toc46949144 \h </w:instrText>
            </w:r>
            <w:r w:rsidR="00033F0B">
              <w:rPr>
                <w:noProof/>
                <w:webHidden/>
              </w:rPr>
            </w:r>
            <w:r w:rsidR="00033F0B">
              <w:rPr>
                <w:noProof/>
                <w:webHidden/>
              </w:rPr>
              <w:fldChar w:fldCharType="separate"/>
            </w:r>
            <w:r w:rsidR="00D47E3C">
              <w:rPr>
                <w:noProof/>
                <w:webHidden/>
              </w:rPr>
              <w:t>31</w:t>
            </w:r>
            <w:r w:rsidR="00033F0B">
              <w:rPr>
                <w:noProof/>
                <w:webHidden/>
              </w:rPr>
              <w:fldChar w:fldCharType="end"/>
            </w:r>
          </w:hyperlink>
        </w:p>
        <w:p w14:paraId="559F4E72" w14:textId="73BDE50F" w:rsidR="00033F0B" w:rsidRDefault="00A6496B">
          <w:pPr>
            <w:pStyle w:val="TOC3"/>
            <w:tabs>
              <w:tab w:val="left" w:pos="1100"/>
              <w:tab w:val="right" w:leader="dot" w:pos="9628"/>
            </w:tabs>
            <w:rPr>
              <w:rFonts w:asciiTheme="minorHAnsi" w:eastAsiaTheme="minorEastAsia" w:hAnsiTheme="minorHAnsi" w:cstheme="minorBidi"/>
              <w:noProof/>
              <w:sz w:val="24"/>
              <w:szCs w:val="24"/>
              <w:lang w:eastAsia="en-US"/>
            </w:rPr>
          </w:pPr>
          <w:hyperlink w:anchor="_Toc46949145" w:history="1">
            <w:r w:rsidR="00033F0B" w:rsidRPr="00AC7763">
              <w:rPr>
                <w:rStyle w:val="Hyperlink"/>
                <w:noProof/>
              </w:rPr>
              <w:t>6.2.</w:t>
            </w:r>
            <w:r w:rsidR="00033F0B">
              <w:rPr>
                <w:rFonts w:asciiTheme="minorHAnsi" w:eastAsiaTheme="minorEastAsia" w:hAnsiTheme="minorHAnsi" w:cstheme="minorBidi"/>
                <w:noProof/>
                <w:sz w:val="24"/>
                <w:szCs w:val="24"/>
                <w:lang w:eastAsia="en-US"/>
              </w:rPr>
              <w:tab/>
            </w:r>
            <w:r w:rsidR="00033F0B" w:rsidRPr="00AC7763">
              <w:rPr>
                <w:rStyle w:val="Hyperlink"/>
                <w:noProof/>
              </w:rPr>
              <w:t>Investigations</w:t>
            </w:r>
            <w:r w:rsidR="00033F0B">
              <w:rPr>
                <w:noProof/>
                <w:webHidden/>
              </w:rPr>
              <w:tab/>
            </w:r>
            <w:r w:rsidR="00033F0B">
              <w:rPr>
                <w:noProof/>
                <w:webHidden/>
              </w:rPr>
              <w:fldChar w:fldCharType="begin"/>
            </w:r>
            <w:r w:rsidR="00033F0B">
              <w:rPr>
                <w:noProof/>
                <w:webHidden/>
              </w:rPr>
              <w:instrText xml:space="preserve"> PAGEREF _Toc46949145 \h </w:instrText>
            </w:r>
            <w:r w:rsidR="00033F0B">
              <w:rPr>
                <w:noProof/>
                <w:webHidden/>
              </w:rPr>
            </w:r>
            <w:r w:rsidR="00033F0B">
              <w:rPr>
                <w:noProof/>
                <w:webHidden/>
              </w:rPr>
              <w:fldChar w:fldCharType="separate"/>
            </w:r>
            <w:r w:rsidR="00D47E3C">
              <w:rPr>
                <w:noProof/>
                <w:webHidden/>
              </w:rPr>
              <w:t>32</w:t>
            </w:r>
            <w:r w:rsidR="00033F0B">
              <w:rPr>
                <w:noProof/>
                <w:webHidden/>
              </w:rPr>
              <w:fldChar w:fldCharType="end"/>
            </w:r>
          </w:hyperlink>
        </w:p>
        <w:p w14:paraId="5B915A75" w14:textId="1FE02C3E" w:rsidR="00033F0B" w:rsidRDefault="00A6496B">
          <w:pPr>
            <w:pStyle w:val="TOC3"/>
            <w:tabs>
              <w:tab w:val="left" w:pos="1100"/>
              <w:tab w:val="right" w:leader="dot" w:pos="9628"/>
            </w:tabs>
            <w:rPr>
              <w:rFonts w:asciiTheme="minorHAnsi" w:eastAsiaTheme="minorEastAsia" w:hAnsiTheme="minorHAnsi" w:cstheme="minorBidi"/>
              <w:noProof/>
              <w:sz w:val="24"/>
              <w:szCs w:val="24"/>
              <w:lang w:eastAsia="en-US"/>
            </w:rPr>
          </w:pPr>
          <w:hyperlink w:anchor="_Toc46949146" w:history="1">
            <w:r w:rsidR="00033F0B" w:rsidRPr="00AC7763">
              <w:rPr>
                <w:rStyle w:val="Hyperlink"/>
                <w:noProof/>
              </w:rPr>
              <w:t>6.3.</w:t>
            </w:r>
            <w:r w:rsidR="00033F0B">
              <w:rPr>
                <w:rFonts w:asciiTheme="minorHAnsi" w:eastAsiaTheme="minorEastAsia" w:hAnsiTheme="minorHAnsi" w:cstheme="minorBidi"/>
                <w:noProof/>
                <w:sz w:val="24"/>
                <w:szCs w:val="24"/>
                <w:lang w:eastAsia="en-US"/>
              </w:rPr>
              <w:tab/>
            </w:r>
            <w:r w:rsidR="00033F0B" w:rsidRPr="00AC7763">
              <w:rPr>
                <w:rStyle w:val="Hyperlink"/>
                <w:noProof/>
              </w:rPr>
              <w:t>Medical treatment decisions</w:t>
            </w:r>
            <w:r w:rsidR="00033F0B">
              <w:rPr>
                <w:noProof/>
                <w:webHidden/>
              </w:rPr>
              <w:tab/>
            </w:r>
            <w:r w:rsidR="00033F0B">
              <w:rPr>
                <w:noProof/>
                <w:webHidden/>
              </w:rPr>
              <w:fldChar w:fldCharType="begin"/>
            </w:r>
            <w:r w:rsidR="00033F0B">
              <w:rPr>
                <w:noProof/>
                <w:webHidden/>
              </w:rPr>
              <w:instrText xml:space="preserve"> PAGEREF _Toc46949146 \h </w:instrText>
            </w:r>
            <w:r w:rsidR="00033F0B">
              <w:rPr>
                <w:noProof/>
                <w:webHidden/>
              </w:rPr>
            </w:r>
            <w:r w:rsidR="00033F0B">
              <w:rPr>
                <w:noProof/>
                <w:webHidden/>
              </w:rPr>
              <w:fldChar w:fldCharType="separate"/>
            </w:r>
            <w:r w:rsidR="00D47E3C">
              <w:rPr>
                <w:noProof/>
                <w:webHidden/>
              </w:rPr>
              <w:t>33</w:t>
            </w:r>
            <w:r w:rsidR="00033F0B">
              <w:rPr>
                <w:noProof/>
                <w:webHidden/>
              </w:rPr>
              <w:fldChar w:fldCharType="end"/>
            </w:r>
          </w:hyperlink>
        </w:p>
        <w:p w14:paraId="72481BAF" w14:textId="13EBA4C4" w:rsidR="00033F0B" w:rsidRDefault="00A6496B">
          <w:pPr>
            <w:pStyle w:val="TOC3"/>
            <w:tabs>
              <w:tab w:val="left" w:pos="1100"/>
              <w:tab w:val="right" w:leader="dot" w:pos="9628"/>
            </w:tabs>
            <w:rPr>
              <w:rFonts w:asciiTheme="minorHAnsi" w:eastAsiaTheme="minorEastAsia" w:hAnsiTheme="minorHAnsi" w:cstheme="minorBidi"/>
              <w:noProof/>
              <w:sz w:val="24"/>
              <w:szCs w:val="24"/>
              <w:lang w:eastAsia="en-US"/>
            </w:rPr>
          </w:pPr>
          <w:hyperlink w:anchor="_Toc46949147" w:history="1">
            <w:r w:rsidR="00033F0B" w:rsidRPr="00AC7763">
              <w:rPr>
                <w:rStyle w:val="Hyperlink"/>
                <w:noProof/>
              </w:rPr>
              <w:t>6.4.</w:t>
            </w:r>
            <w:r w:rsidR="00033F0B">
              <w:rPr>
                <w:rFonts w:asciiTheme="minorHAnsi" w:eastAsiaTheme="minorEastAsia" w:hAnsiTheme="minorHAnsi" w:cstheme="minorBidi"/>
                <w:noProof/>
                <w:sz w:val="24"/>
                <w:szCs w:val="24"/>
                <w:lang w:eastAsia="en-US"/>
              </w:rPr>
              <w:tab/>
            </w:r>
            <w:r w:rsidR="00033F0B" w:rsidRPr="00AC7763">
              <w:rPr>
                <w:rStyle w:val="Hyperlink"/>
                <w:noProof/>
              </w:rPr>
              <w:t>OPA Volunteer Programs</w:t>
            </w:r>
            <w:r w:rsidR="00033F0B">
              <w:rPr>
                <w:noProof/>
                <w:webHidden/>
              </w:rPr>
              <w:tab/>
            </w:r>
            <w:r w:rsidR="00033F0B">
              <w:rPr>
                <w:noProof/>
                <w:webHidden/>
              </w:rPr>
              <w:fldChar w:fldCharType="begin"/>
            </w:r>
            <w:r w:rsidR="00033F0B">
              <w:rPr>
                <w:noProof/>
                <w:webHidden/>
              </w:rPr>
              <w:instrText xml:space="preserve"> PAGEREF _Toc46949147 \h </w:instrText>
            </w:r>
            <w:r w:rsidR="00033F0B">
              <w:rPr>
                <w:noProof/>
                <w:webHidden/>
              </w:rPr>
            </w:r>
            <w:r w:rsidR="00033F0B">
              <w:rPr>
                <w:noProof/>
                <w:webHidden/>
              </w:rPr>
              <w:fldChar w:fldCharType="separate"/>
            </w:r>
            <w:r w:rsidR="00D47E3C">
              <w:rPr>
                <w:noProof/>
                <w:webHidden/>
              </w:rPr>
              <w:t>33</w:t>
            </w:r>
            <w:r w:rsidR="00033F0B">
              <w:rPr>
                <w:noProof/>
                <w:webHidden/>
              </w:rPr>
              <w:fldChar w:fldCharType="end"/>
            </w:r>
          </w:hyperlink>
        </w:p>
        <w:p w14:paraId="535AF8F7" w14:textId="3204DDEF" w:rsidR="00033F0B" w:rsidRDefault="00A6496B">
          <w:pPr>
            <w:pStyle w:val="TOC3"/>
            <w:tabs>
              <w:tab w:val="left" w:pos="1100"/>
              <w:tab w:val="right" w:leader="dot" w:pos="9628"/>
            </w:tabs>
            <w:rPr>
              <w:rFonts w:asciiTheme="minorHAnsi" w:eastAsiaTheme="minorEastAsia" w:hAnsiTheme="minorHAnsi" w:cstheme="minorBidi"/>
              <w:noProof/>
              <w:sz w:val="24"/>
              <w:szCs w:val="24"/>
              <w:lang w:eastAsia="en-US"/>
            </w:rPr>
          </w:pPr>
          <w:hyperlink w:anchor="_Toc46949148" w:history="1">
            <w:r w:rsidR="00033F0B" w:rsidRPr="00AC7763">
              <w:rPr>
                <w:rStyle w:val="Hyperlink"/>
                <w:noProof/>
              </w:rPr>
              <w:t>6.5.</w:t>
            </w:r>
            <w:r w:rsidR="00033F0B">
              <w:rPr>
                <w:rFonts w:asciiTheme="minorHAnsi" w:eastAsiaTheme="minorEastAsia" w:hAnsiTheme="minorHAnsi" w:cstheme="minorBidi"/>
                <w:noProof/>
                <w:sz w:val="24"/>
                <w:szCs w:val="24"/>
                <w:lang w:eastAsia="en-US"/>
              </w:rPr>
              <w:tab/>
            </w:r>
            <w:r w:rsidR="00033F0B" w:rsidRPr="00AC7763">
              <w:rPr>
                <w:rStyle w:val="Hyperlink"/>
                <w:noProof/>
              </w:rPr>
              <w:t>Disability Act Officers</w:t>
            </w:r>
            <w:r w:rsidR="00033F0B">
              <w:rPr>
                <w:noProof/>
                <w:webHidden/>
              </w:rPr>
              <w:tab/>
            </w:r>
            <w:r w:rsidR="00033F0B">
              <w:rPr>
                <w:noProof/>
                <w:webHidden/>
              </w:rPr>
              <w:fldChar w:fldCharType="begin"/>
            </w:r>
            <w:r w:rsidR="00033F0B">
              <w:rPr>
                <w:noProof/>
                <w:webHidden/>
              </w:rPr>
              <w:instrText xml:space="preserve"> PAGEREF _Toc46949148 \h </w:instrText>
            </w:r>
            <w:r w:rsidR="00033F0B">
              <w:rPr>
                <w:noProof/>
                <w:webHidden/>
              </w:rPr>
            </w:r>
            <w:r w:rsidR="00033F0B">
              <w:rPr>
                <w:noProof/>
                <w:webHidden/>
              </w:rPr>
              <w:fldChar w:fldCharType="separate"/>
            </w:r>
            <w:r w:rsidR="00D47E3C">
              <w:rPr>
                <w:noProof/>
                <w:webHidden/>
              </w:rPr>
              <w:t>35</w:t>
            </w:r>
            <w:r w:rsidR="00033F0B">
              <w:rPr>
                <w:noProof/>
                <w:webHidden/>
              </w:rPr>
              <w:fldChar w:fldCharType="end"/>
            </w:r>
          </w:hyperlink>
        </w:p>
        <w:p w14:paraId="640E0740" w14:textId="72A92DD8" w:rsidR="00033F0B" w:rsidRDefault="00A6496B">
          <w:pPr>
            <w:pStyle w:val="TOC3"/>
            <w:tabs>
              <w:tab w:val="left" w:pos="1100"/>
              <w:tab w:val="right" w:leader="dot" w:pos="9628"/>
            </w:tabs>
            <w:rPr>
              <w:rFonts w:asciiTheme="minorHAnsi" w:eastAsiaTheme="minorEastAsia" w:hAnsiTheme="minorHAnsi" w:cstheme="minorBidi"/>
              <w:noProof/>
              <w:sz w:val="24"/>
              <w:szCs w:val="24"/>
              <w:lang w:eastAsia="en-US"/>
            </w:rPr>
          </w:pPr>
          <w:hyperlink w:anchor="_Toc46949149" w:history="1">
            <w:r w:rsidR="00033F0B" w:rsidRPr="00AC7763">
              <w:rPr>
                <w:rStyle w:val="Hyperlink"/>
                <w:noProof/>
              </w:rPr>
              <w:t>6.6.</w:t>
            </w:r>
            <w:r w:rsidR="00033F0B">
              <w:rPr>
                <w:rFonts w:asciiTheme="minorHAnsi" w:eastAsiaTheme="minorEastAsia" w:hAnsiTheme="minorHAnsi" w:cstheme="minorBidi"/>
                <w:noProof/>
                <w:sz w:val="24"/>
                <w:szCs w:val="24"/>
                <w:lang w:eastAsia="en-US"/>
              </w:rPr>
              <w:tab/>
            </w:r>
            <w:r w:rsidR="00033F0B" w:rsidRPr="00AC7763">
              <w:rPr>
                <w:rStyle w:val="Hyperlink"/>
                <w:noProof/>
              </w:rPr>
              <w:t>Advice service</w:t>
            </w:r>
            <w:r w:rsidR="00033F0B">
              <w:rPr>
                <w:noProof/>
                <w:webHidden/>
              </w:rPr>
              <w:tab/>
            </w:r>
            <w:r w:rsidR="00033F0B">
              <w:rPr>
                <w:noProof/>
                <w:webHidden/>
              </w:rPr>
              <w:fldChar w:fldCharType="begin"/>
            </w:r>
            <w:r w:rsidR="00033F0B">
              <w:rPr>
                <w:noProof/>
                <w:webHidden/>
              </w:rPr>
              <w:instrText xml:space="preserve"> PAGEREF _Toc46949149 \h </w:instrText>
            </w:r>
            <w:r w:rsidR="00033F0B">
              <w:rPr>
                <w:noProof/>
                <w:webHidden/>
              </w:rPr>
            </w:r>
            <w:r w:rsidR="00033F0B">
              <w:rPr>
                <w:noProof/>
                <w:webHidden/>
              </w:rPr>
              <w:fldChar w:fldCharType="separate"/>
            </w:r>
            <w:r w:rsidR="00D47E3C">
              <w:rPr>
                <w:noProof/>
                <w:webHidden/>
              </w:rPr>
              <w:t>35</w:t>
            </w:r>
            <w:r w:rsidR="00033F0B">
              <w:rPr>
                <w:noProof/>
                <w:webHidden/>
              </w:rPr>
              <w:fldChar w:fldCharType="end"/>
            </w:r>
          </w:hyperlink>
        </w:p>
        <w:p w14:paraId="09391532" w14:textId="354A22C0" w:rsidR="00033F0B" w:rsidRDefault="00A6496B">
          <w:pPr>
            <w:pStyle w:val="TOC3"/>
            <w:tabs>
              <w:tab w:val="left" w:pos="1100"/>
              <w:tab w:val="right" w:leader="dot" w:pos="9628"/>
            </w:tabs>
            <w:rPr>
              <w:rFonts w:asciiTheme="minorHAnsi" w:eastAsiaTheme="minorEastAsia" w:hAnsiTheme="minorHAnsi" w:cstheme="minorBidi"/>
              <w:noProof/>
              <w:sz w:val="24"/>
              <w:szCs w:val="24"/>
              <w:lang w:eastAsia="en-US"/>
            </w:rPr>
          </w:pPr>
          <w:hyperlink w:anchor="_Toc46949150" w:history="1">
            <w:r w:rsidR="00033F0B" w:rsidRPr="00AC7763">
              <w:rPr>
                <w:rStyle w:val="Hyperlink"/>
                <w:noProof/>
              </w:rPr>
              <w:t>6.7.</w:t>
            </w:r>
            <w:r w:rsidR="00033F0B">
              <w:rPr>
                <w:rFonts w:asciiTheme="minorHAnsi" w:eastAsiaTheme="minorEastAsia" w:hAnsiTheme="minorHAnsi" w:cstheme="minorBidi"/>
                <w:noProof/>
                <w:sz w:val="24"/>
                <w:szCs w:val="24"/>
                <w:lang w:eastAsia="en-US"/>
              </w:rPr>
              <w:tab/>
            </w:r>
            <w:r w:rsidR="00033F0B" w:rsidRPr="00AC7763">
              <w:rPr>
                <w:rStyle w:val="Hyperlink"/>
                <w:noProof/>
              </w:rPr>
              <w:t>The towers</w:t>
            </w:r>
            <w:r w:rsidR="00033F0B">
              <w:rPr>
                <w:noProof/>
                <w:webHidden/>
              </w:rPr>
              <w:tab/>
            </w:r>
            <w:r w:rsidR="00033F0B">
              <w:rPr>
                <w:noProof/>
                <w:webHidden/>
              </w:rPr>
              <w:fldChar w:fldCharType="begin"/>
            </w:r>
            <w:r w:rsidR="00033F0B">
              <w:rPr>
                <w:noProof/>
                <w:webHidden/>
              </w:rPr>
              <w:instrText xml:space="preserve"> PAGEREF _Toc46949150 \h </w:instrText>
            </w:r>
            <w:r w:rsidR="00033F0B">
              <w:rPr>
                <w:noProof/>
                <w:webHidden/>
              </w:rPr>
            </w:r>
            <w:r w:rsidR="00033F0B">
              <w:rPr>
                <w:noProof/>
                <w:webHidden/>
              </w:rPr>
              <w:fldChar w:fldCharType="separate"/>
            </w:r>
            <w:r w:rsidR="00D47E3C">
              <w:rPr>
                <w:noProof/>
                <w:webHidden/>
              </w:rPr>
              <w:t>36</w:t>
            </w:r>
            <w:r w:rsidR="00033F0B">
              <w:rPr>
                <w:noProof/>
                <w:webHidden/>
              </w:rPr>
              <w:fldChar w:fldCharType="end"/>
            </w:r>
          </w:hyperlink>
        </w:p>
        <w:p w14:paraId="6DEEC4B3" w14:textId="17840385" w:rsidR="00033F0B" w:rsidRDefault="00A6496B">
          <w:pPr>
            <w:pStyle w:val="TOC1"/>
            <w:tabs>
              <w:tab w:val="left" w:pos="440"/>
              <w:tab w:val="right" w:leader="dot" w:pos="9628"/>
            </w:tabs>
            <w:rPr>
              <w:rFonts w:asciiTheme="minorHAnsi" w:eastAsiaTheme="minorEastAsia" w:hAnsiTheme="minorHAnsi" w:cstheme="minorBidi"/>
              <w:noProof/>
              <w:sz w:val="24"/>
              <w:szCs w:val="24"/>
              <w:lang w:eastAsia="en-US"/>
            </w:rPr>
          </w:pPr>
          <w:hyperlink w:anchor="_Toc46949151" w:history="1">
            <w:r w:rsidR="00033F0B" w:rsidRPr="00AC7763">
              <w:rPr>
                <w:rStyle w:val="Hyperlink"/>
                <w:rFonts w:eastAsia="Times New Roman"/>
                <w:noProof/>
              </w:rPr>
              <w:t>7.</w:t>
            </w:r>
            <w:r w:rsidR="00033F0B">
              <w:rPr>
                <w:rFonts w:asciiTheme="minorHAnsi" w:eastAsiaTheme="minorEastAsia" w:hAnsiTheme="minorHAnsi" w:cstheme="minorBidi"/>
                <w:noProof/>
                <w:sz w:val="24"/>
                <w:szCs w:val="24"/>
                <w:lang w:eastAsia="en-US"/>
              </w:rPr>
              <w:tab/>
            </w:r>
            <w:r w:rsidR="00033F0B" w:rsidRPr="00AC7763">
              <w:rPr>
                <w:rStyle w:val="Hyperlink"/>
                <w:noProof/>
              </w:rPr>
              <w:t>Planning for a health system resources crisis</w:t>
            </w:r>
            <w:r w:rsidR="00033F0B">
              <w:rPr>
                <w:noProof/>
                <w:webHidden/>
              </w:rPr>
              <w:tab/>
            </w:r>
            <w:r w:rsidR="00033F0B">
              <w:rPr>
                <w:noProof/>
                <w:webHidden/>
              </w:rPr>
              <w:fldChar w:fldCharType="begin"/>
            </w:r>
            <w:r w:rsidR="00033F0B">
              <w:rPr>
                <w:noProof/>
                <w:webHidden/>
              </w:rPr>
              <w:instrText xml:space="preserve"> PAGEREF _Toc46949151 \h </w:instrText>
            </w:r>
            <w:r w:rsidR="00033F0B">
              <w:rPr>
                <w:noProof/>
                <w:webHidden/>
              </w:rPr>
            </w:r>
            <w:r w:rsidR="00033F0B">
              <w:rPr>
                <w:noProof/>
                <w:webHidden/>
              </w:rPr>
              <w:fldChar w:fldCharType="separate"/>
            </w:r>
            <w:r w:rsidR="00D47E3C">
              <w:rPr>
                <w:noProof/>
                <w:webHidden/>
              </w:rPr>
              <w:t>37</w:t>
            </w:r>
            <w:r w:rsidR="00033F0B">
              <w:rPr>
                <w:noProof/>
                <w:webHidden/>
              </w:rPr>
              <w:fldChar w:fldCharType="end"/>
            </w:r>
          </w:hyperlink>
        </w:p>
        <w:p w14:paraId="7BFD074D" w14:textId="7B94A9B4" w:rsidR="00033F0B" w:rsidRDefault="00A6496B">
          <w:pPr>
            <w:pStyle w:val="TOC3"/>
            <w:tabs>
              <w:tab w:val="left" w:pos="1100"/>
              <w:tab w:val="right" w:leader="dot" w:pos="9628"/>
            </w:tabs>
            <w:rPr>
              <w:rFonts w:asciiTheme="minorHAnsi" w:eastAsiaTheme="minorEastAsia" w:hAnsiTheme="minorHAnsi" w:cstheme="minorBidi"/>
              <w:noProof/>
              <w:sz w:val="24"/>
              <w:szCs w:val="24"/>
              <w:lang w:eastAsia="en-US"/>
            </w:rPr>
          </w:pPr>
          <w:hyperlink w:anchor="_Toc46949152" w:history="1">
            <w:r w:rsidR="00033F0B" w:rsidRPr="00AC7763">
              <w:rPr>
                <w:rStyle w:val="Hyperlink"/>
                <w:noProof/>
              </w:rPr>
              <w:t>7.1.</w:t>
            </w:r>
            <w:r w:rsidR="00033F0B">
              <w:rPr>
                <w:rFonts w:asciiTheme="minorHAnsi" w:eastAsiaTheme="minorEastAsia" w:hAnsiTheme="minorHAnsi" w:cstheme="minorBidi"/>
                <w:noProof/>
                <w:sz w:val="24"/>
                <w:szCs w:val="24"/>
                <w:lang w:eastAsia="en-US"/>
              </w:rPr>
              <w:tab/>
            </w:r>
            <w:r w:rsidR="00033F0B" w:rsidRPr="00AC7763">
              <w:rPr>
                <w:rStyle w:val="Hyperlink"/>
                <w:noProof/>
              </w:rPr>
              <w:t>The impact of ‘disaster ethics’</w:t>
            </w:r>
            <w:r w:rsidR="00033F0B">
              <w:rPr>
                <w:noProof/>
                <w:webHidden/>
              </w:rPr>
              <w:tab/>
            </w:r>
            <w:r w:rsidR="00033F0B">
              <w:rPr>
                <w:noProof/>
                <w:webHidden/>
              </w:rPr>
              <w:fldChar w:fldCharType="begin"/>
            </w:r>
            <w:r w:rsidR="00033F0B">
              <w:rPr>
                <w:noProof/>
                <w:webHidden/>
              </w:rPr>
              <w:instrText xml:space="preserve"> PAGEREF _Toc46949152 \h </w:instrText>
            </w:r>
            <w:r w:rsidR="00033F0B">
              <w:rPr>
                <w:noProof/>
                <w:webHidden/>
              </w:rPr>
            </w:r>
            <w:r w:rsidR="00033F0B">
              <w:rPr>
                <w:noProof/>
                <w:webHidden/>
              </w:rPr>
              <w:fldChar w:fldCharType="separate"/>
            </w:r>
            <w:r w:rsidR="00D47E3C">
              <w:rPr>
                <w:noProof/>
                <w:webHidden/>
              </w:rPr>
              <w:t>38</w:t>
            </w:r>
            <w:r w:rsidR="00033F0B">
              <w:rPr>
                <w:noProof/>
                <w:webHidden/>
              </w:rPr>
              <w:fldChar w:fldCharType="end"/>
            </w:r>
          </w:hyperlink>
        </w:p>
        <w:p w14:paraId="350E13FA" w14:textId="4545542D" w:rsidR="00033F0B" w:rsidRDefault="00A6496B">
          <w:pPr>
            <w:pStyle w:val="TOC3"/>
            <w:tabs>
              <w:tab w:val="left" w:pos="1100"/>
              <w:tab w:val="right" w:leader="dot" w:pos="9628"/>
            </w:tabs>
            <w:rPr>
              <w:rFonts w:asciiTheme="minorHAnsi" w:eastAsiaTheme="minorEastAsia" w:hAnsiTheme="minorHAnsi" w:cstheme="minorBidi"/>
              <w:noProof/>
              <w:sz w:val="24"/>
              <w:szCs w:val="24"/>
              <w:lang w:eastAsia="en-US"/>
            </w:rPr>
          </w:pPr>
          <w:hyperlink w:anchor="_Toc46949153" w:history="1">
            <w:r w:rsidR="00033F0B" w:rsidRPr="00AC7763">
              <w:rPr>
                <w:rStyle w:val="Hyperlink"/>
                <w:noProof/>
              </w:rPr>
              <w:t>7.2.</w:t>
            </w:r>
            <w:r w:rsidR="00033F0B">
              <w:rPr>
                <w:rFonts w:asciiTheme="minorHAnsi" w:eastAsiaTheme="minorEastAsia" w:hAnsiTheme="minorHAnsi" w:cstheme="minorBidi"/>
                <w:noProof/>
                <w:sz w:val="24"/>
                <w:szCs w:val="24"/>
                <w:lang w:eastAsia="en-US"/>
              </w:rPr>
              <w:tab/>
            </w:r>
            <w:r w:rsidR="00033F0B" w:rsidRPr="00AC7763">
              <w:rPr>
                <w:rStyle w:val="Hyperlink"/>
                <w:noProof/>
              </w:rPr>
              <w:t>Implementing ‘disaster ethics’</w:t>
            </w:r>
            <w:r w:rsidR="00033F0B">
              <w:rPr>
                <w:noProof/>
                <w:webHidden/>
              </w:rPr>
              <w:tab/>
            </w:r>
            <w:r w:rsidR="00033F0B">
              <w:rPr>
                <w:noProof/>
                <w:webHidden/>
              </w:rPr>
              <w:fldChar w:fldCharType="begin"/>
            </w:r>
            <w:r w:rsidR="00033F0B">
              <w:rPr>
                <w:noProof/>
                <w:webHidden/>
              </w:rPr>
              <w:instrText xml:space="preserve"> PAGEREF _Toc46949153 \h </w:instrText>
            </w:r>
            <w:r w:rsidR="00033F0B">
              <w:rPr>
                <w:noProof/>
                <w:webHidden/>
              </w:rPr>
            </w:r>
            <w:r w:rsidR="00033F0B">
              <w:rPr>
                <w:noProof/>
                <w:webHidden/>
              </w:rPr>
              <w:fldChar w:fldCharType="separate"/>
            </w:r>
            <w:r w:rsidR="00D47E3C">
              <w:rPr>
                <w:noProof/>
                <w:webHidden/>
              </w:rPr>
              <w:t>38</w:t>
            </w:r>
            <w:r w:rsidR="00033F0B">
              <w:rPr>
                <w:noProof/>
                <w:webHidden/>
              </w:rPr>
              <w:fldChar w:fldCharType="end"/>
            </w:r>
          </w:hyperlink>
        </w:p>
        <w:p w14:paraId="78213329" w14:textId="16FBDD35" w:rsidR="00033F0B" w:rsidRDefault="00A6496B">
          <w:pPr>
            <w:pStyle w:val="TOC1"/>
            <w:tabs>
              <w:tab w:val="left" w:pos="440"/>
              <w:tab w:val="right" w:leader="dot" w:pos="9628"/>
            </w:tabs>
            <w:rPr>
              <w:rFonts w:asciiTheme="minorHAnsi" w:eastAsiaTheme="minorEastAsia" w:hAnsiTheme="minorHAnsi" w:cstheme="minorBidi"/>
              <w:noProof/>
              <w:sz w:val="24"/>
              <w:szCs w:val="24"/>
              <w:lang w:eastAsia="en-US"/>
            </w:rPr>
          </w:pPr>
          <w:hyperlink w:anchor="_Toc46949154" w:history="1">
            <w:r w:rsidR="00033F0B" w:rsidRPr="00AC7763">
              <w:rPr>
                <w:rStyle w:val="Hyperlink"/>
                <w:rFonts w:eastAsia="Times New Roman"/>
                <w:noProof/>
              </w:rPr>
              <w:t>8.</w:t>
            </w:r>
            <w:r w:rsidR="00033F0B">
              <w:rPr>
                <w:rFonts w:asciiTheme="minorHAnsi" w:eastAsiaTheme="minorEastAsia" w:hAnsiTheme="minorHAnsi" w:cstheme="minorBidi"/>
                <w:noProof/>
                <w:sz w:val="24"/>
                <w:szCs w:val="24"/>
                <w:lang w:eastAsia="en-US"/>
              </w:rPr>
              <w:tab/>
            </w:r>
            <w:r w:rsidR="00033F0B" w:rsidRPr="00AC7763">
              <w:rPr>
                <w:rStyle w:val="Hyperlink"/>
                <w:noProof/>
              </w:rPr>
              <w:t>Attachment A: OPA Position Statement</w:t>
            </w:r>
            <w:r w:rsidR="00033F0B">
              <w:rPr>
                <w:noProof/>
                <w:webHidden/>
              </w:rPr>
              <w:tab/>
            </w:r>
            <w:r w:rsidR="00033F0B">
              <w:rPr>
                <w:noProof/>
                <w:webHidden/>
              </w:rPr>
              <w:fldChar w:fldCharType="begin"/>
            </w:r>
            <w:r w:rsidR="00033F0B">
              <w:rPr>
                <w:noProof/>
                <w:webHidden/>
              </w:rPr>
              <w:instrText xml:space="preserve"> PAGEREF _Toc46949154 \h </w:instrText>
            </w:r>
            <w:r w:rsidR="00033F0B">
              <w:rPr>
                <w:noProof/>
                <w:webHidden/>
              </w:rPr>
            </w:r>
            <w:r w:rsidR="00033F0B">
              <w:rPr>
                <w:noProof/>
                <w:webHidden/>
              </w:rPr>
              <w:fldChar w:fldCharType="separate"/>
            </w:r>
            <w:r w:rsidR="00D47E3C">
              <w:rPr>
                <w:noProof/>
                <w:webHidden/>
              </w:rPr>
              <w:t>41</w:t>
            </w:r>
            <w:r w:rsidR="00033F0B">
              <w:rPr>
                <w:noProof/>
                <w:webHidden/>
              </w:rPr>
              <w:fldChar w:fldCharType="end"/>
            </w:r>
          </w:hyperlink>
        </w:p>
        <w:p w14:paraId="2CB4A7D4" w14:textId="66EC226F" w:rsidR="00033F0B" w:rsidRDefault="00A6496B">
          <w:pPr>
            <w:pStyle w:val="TOC1"/>
            <w:tabs>
              <w:tab w:val="left" w:pos="440"/>
              <w:tab w:val="right" w:leader="dot" w:pos="9628"/>
            </w:tabs>
            <w:rPr>
              <w:rFonts w:asciiTheme="minorHAnsi" w:eastAsiaTheme="minorEastAsia" w:hAnsiTheme="minorHAnsi" w:cstheme="minorBidi"/>
              <w:noProof/>
              <w:sz w:val="24"/>
              <w:szCs w:val="24"/>
              <w:lang w:eastAsia="en-US"/>
            </w:rPr>
          </w:pPr>
          <w:hyperlink w:anchor="_Toc46949155" w:history="1">
            <w:r w:rsidR="00033F0B" w:rsidRPr="00AC7763">
              <w:rPr>
                <w:rStyle w:val="Hyperlink"/>
                <w:rFonts w:eastAsia="Times New Roman"/>
                <w:noProof/>
              </w:rPr>
              <w:t>9.</w:t>
            </w:r>
            <w:r w:rsidR="00033F0B">
              <w:rPr>
                <w:rFonts w:asciiTheme="minorHAnsi" w:eastAsiaTheme="minorEastAsia" w:hAnsiTheme="minorHAnsi" w:cstheme="minorBidi"/>
                <w:noProof/>
                <w:sz w:val="24"/>
                <w:szCs w:val="24"/>
                <w:lang w:eastAsia="en-US"/>
              </w:rPr>
              <w:tab/>
            </w:r>
            <w:r w:rsidR="00033F0B" w:rsidRPr="00AC7763">
              <w:rPr>
                <w:rStyle w:val="Hyperlink"/>
                <w:noProof/>
              </w:rPr>
              <w:t>Attachment B: Scarce Resource Allocation (SRA) Team and Triage Team Membership and Roles</w:t>
            </w:r>
            <w:r w:rsidR="00033F0B">
              <w:rPr>
                <w:noProof/>
                <w:webHidden/>
              </w:rPr>
              <w:tab/>
            </w:r>
            <w:r w:rsidR="00033F0B">
              <w:rPr>
                <w:noProof/>
                <w:webHidden/>
              </w:rPr>
              <w:fldChar w:fldCharType="begin"/>
            </w:r>
            <w:r w:rsidR="00033F0B">
              <w:rPr>
                <w:noProof/>
                <w:webHidden/>
              </w:rPr>
              <w:instrText xml:space="preserve"> PAGEREF _Toc46949155 \h </w:instrText>
            </w:r>
            <w:r w:rsidR="00033F0B">
              <w:rPr>
                <w:noProof/>
                <w:webHidden/>
              </w:rPr>
            </w:r>
            <w:r w:rsidR="00033F0B">
              <w:rPr>
                <w:noProof/>
                <w:webHidden/>
              </w:rPr>
              <w:fldChar w:fldCharType="separate"/>
            </w:r>
            <w:r w:rsidR="00D47E3C">
              <w:rPr>
                <w:noProof/>
                <w:webHidden/>
              </w:rPr>
              <w:t>43</w:t>
            </w:r>
            <w:r w:rsidR="00033F0B">
              <w:rPr>
                <w:noProof/>
                <w:webHidden/>
              </w:rPr>
              <w:fldChar w:fldCharType="end"/>
            </w:r>
          </w:hyperlink>
        </w:p>
        <w:p w14:paraId="2A3BE3C6" w14:textId="0903BCBA" w:rsidR="00205C99" w:rsidRDefault="004E63CF">
          <w:r>
            <w:rPr>
              <w:b/>
              <w:bCs/>
              <w:noProof/>
            </w:rPr>
            <w:fldChar w:fldCharType="end"/>
          </w:r>
        </w:p>
      </w:sdtContent>
    </w:sdt>
    <w:p w14:paraId="569DFC78" w14:textId="77777777" w:rsidR="00205C99" w:rsidRDefault="00205C99" w:rsidP="00205C99">
      <w:pPr>
        <w:pStyle w:val="Heading1OPA"/>
        <w:ind w:firstLine="0"/>
      </w:pPr>
      <w:r w:rsidRPr="006D20E8">
        <w:br w:type="page"/>
      </w:r>
      <w:bookmarkStart w:id="1" w:name="_Toc46949121"/>
      <w:r>
        <w:lastRenderedPageBreak/>
        <w:t>Abbreviations</w:t>
      </w:r>
      <w:bookmarkEnd w:id="1"/>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793"/>
      </w:tblGrid>
      <w:tr w:rsidR="00205C99" w14:paraId="38359361" w14:textId="77777777" w:rsidTr="00A13BDE">
        <w:tc>
          <w:tcPr>
            <w:tcW w:w="2126" w:type="dxa"/>
          </w:tcPr>
          <w:p w14:paraId="079F40B6" w14:textId="77777777" w:rsidR="00205C99" w:rsidRDefault="00F65931" w:rsidP="00485436">
            <w:pPr>
              <w:spacing w:before="120" w:after="120"/>
            </w:pPr>
            <w:r>
              <w:t>DHHS</w:t>
            </w:r>
          </w:p>
        </w:tc>
        <w:tc>
          <w:tcPr>
            <w:tcW w:w="6793" w:type="dxa"/>
          </w:tcPr>
          <w:p w14:paraId="038248F5" w14:textId="77777777" w:rsidR="00205C99" w:rsidRDefault="00F65931" w:rsidP="00485436">
            <w:pPr>
              <w:spacing w:before="120" w:after="120"/>
            </w:pPr>
            <w:r>
              <w:t>Victorian Department of Health and Human Services</w:t>
            </w:r>
          </w:p>
        </w:tc>
      </w:tr>
      <w:tr w:rsidR="00204F84" w14:paraId="21374160" w14:textId="77777777" w:rsidTr="00A13BDE">
        <w:tc>
          <w:tcPr>
            <w:tcW w:w="2126" w:type="dxa"/>
          </w:tcPr>
          <w:p w14:paraId="48FF9CAC" w14:textId="56AB18A3" w:rsidR="00204F84" w:rsidRDefault="00204F84" w:rsidP="00485436">
            <w:pPr>
              <w:spacing w:before="120" w:after="120"/>
            </w:pPr>
            <w:r>
              <w:t>CHO</w:t>
            </w:r>
          </w:p>
        </w:tc>
        <w:tc>
          <w:tcPr>
            <w:tcW w:w="6793" w:type="dxa"/>
          </w:tcPr>
          <w:p w14:paraId="112A5CD0" w14:textId="69E53E09" w:rsidR="00204F84" w:rsidRDefault="00204F84" w:rsidP="00485436">
            <w:pPr>
              <w:spacing w:before="120" w:after="120"/>
            </w:pPr>
            <w:r>
              <w:t>Victorian Chief Health Officer</w:t>
            </w:r>
          </w:p>
        </w:tc>
      </w:tr>
      <w:tr w:rsidR="00F65931" w14:paraId="709DF282" w14:textId="77777777" w:rsidTr="00A13BDE">
        <w:tc>
          <w:tcPr>
            <w:tcW w:w="2126" w:type="dxa"/>
          </w:tcPr>
          <w:p w14:paraId="7A63C8CD" w14:textId="77777777" w:rsidR="00F65931" w:rsidRDefault="00F65931" w:rsidP="00485436">
            <w:pPr>
              <w:spacing w:before="120" w:after="120"/>
            </w:pPr>
            <w:r>
              <w:t>CISO</w:t>
            </w:r>
          </w:p>
        </w:tc>
        <w:tc>
          <w:tcPr>
            <w:tcW w:w="6793" w:type="dxa"/>
          </w:tcPr>
          <w:p w14:paraId="611B5522" w14:textId="77777777" w:rsidR="00F65931" w:rsidRPr="00485436" w:rsidRDefault="00F65931" w:rsidP="00485436">
            <w:pPr>
              <w:spacing w:before="120" w:after="120"/>
            </w:pPr>
            <w:r>
              <w:t>Correctional Independent Support Officer</w:t>
            </w:r>
          </w:p>
        </w:tc>
      </w:tr>
      <w:tr w:rsidR="00F65931" w14:paraId="4CB37AAE" w14:textId="77777777" w:rsidTr="00A13BDE">
        <w:tc>
          <w:tcPr>
            <w:tcW w:w="2126" w:type="dxa"/>
          </w:tcPr>
          <w:p w14:paraId="52CAB085" w14:textId="77777777" w:rsidR="00F65931" w:rsidDel="00F65931" w:rsidRDefault="00F65931" w:rsidP="00485436">
            <w:pPr>
              <w:spacing w:before="120" w:after="120"/>
            </w:pPr>
            <w:r>
              <w:t>ITP</w:t>
            </w:r>
          </w:p>
        </w:tc>
        <w:tc>
          <w:tcPr>
            <w:tcW w:w="6793" w:type="dxa"/>
          </w:tcPr>
          <w:p w14:paraId="44E2D288" w14:textId="77777777" w:rsidR="00F65931" w:rsidRDefault="00F65931" w:rsidP="00485436">
            <w:pPr>
              <w:spacing w:before="120" w:after="120"/>
            </w:pPr>
            <w:r>
              <w:t>Independent Third Person</w:t>
            </w:r>
          </w:p>
        </w:tc>
      </w:tr>
      <w:tr w:rsidR="00F65931" w14:paraId="0BACE13E" w14:textId="77777777" w:rsidTr="00A13BDE">
        <w:tc>
          <w:tcPr>
            <w:tcW w:w="2126" w:type="dxa"/>
          </w:tcPr>
          <w:p w14:paraId="1C7645CC" w14:textId="77777777" w:rsidR="00F65931" w:rsidDel="00F65931" w:rsidRDefault="00F65931" w:rsidP="00485436">
            <w:pPr>
              <w:spacing w:before="120" w:after="120"/>
            </w:pPr>
            <w:r>
              <w:t>IVO</w:t>
            </w:r>
          </w:p>
        </w:tc>
        <w:tc>
          <w:tcPr>
            <w:tcW w:w="6793" w:type="dxa"/>
          </w:tcPr>
          <w:p w14:paraId="00605BC2" w14:textId="77777777" w:rsidR="00F65931" w:rsidRDefault="00F65931" w:rsidP="00485436">
            <w:pPr>
              <w:spacing w:before="120" w:after="120"/>
            </w:pPr>
            <w:r>
              <w:t>Intervention Order</w:t>
            </w:r>
          </w:p>
        </w:tc>
      </w:tr>
      <w:tr w:rsidR="00205C99" w14:paraId="2B12F0CF" w14:textId="77777777" w:rsidTr="00A13BDE">
        <w:tc>
          <w:tcPr>
            <w:tcW w:w="2126" w:type="dxa"/>
          </w:tcPr>
          <w:p w14:paraId="0249D11C" w14:textId="77777777" w:rsidR="00205C99" w:rsidRDefault="00F65931" w:rsidP="00485436">
            <w:pPr>
              <w:spacing w:before="120" w:after="120"/>
            </w:pPr>
            <w:r>
              <w:t>NDIA</w:t>
            </w:r>
          </w:p>
        </w:tc>
        <w:tc>
          <w:tcPr>
            <w:tcW w:w="6793" w:type="dxa"/>
          </w:tcPr>
          <w:p w14:paraId="64E7C8E5" w14:textId="77777777" w:rsidR="00205C99" w:rsidRDefault="00F65931" w:rsidP="00485436">
            <w:pPr>
              <w:spacing w:before="120" w:after="120"/>
            </w:pPr>
            <w:r>
              <w:t>National Disability Insurance Agency</w:t>
            </w:r>
          </w:p>
        </w:tc>
      </w:tr>
      <w:tr w:rsidR="00205C99" w14:paraId="0CD06301" w14:textId="77777777" w:rsidTr="00A13BDE">
        <w:tc>
          <w:tcPr>
            <w:tcW w:w="2126" w:type="dxa"/>
          </w:tcPr>
          <w:p w14:paraId="10AD0334" w14:textId="77777777" w:rsidR="00205C99" w:rsidRDefault="00F65931" w:rsidP="00485436">
            <w:pPr>
              <w:spacing w:before="120" w:after="120"/>
            </w:pPr>
            <w:r>
              <w:t>NDIS</w:t>
            </w:r>
          </w:p>
        </w:tc>
        <w:tc>
          <w:tcPr>
            <w:tcW w:w="6793" w:type="dxa"/>
          </w:tcPr>
          <w:p w14:paraId="586098BD" w14:textId="77777777" w:rsidR="00205C99" w:rsidRDefault="00F65931" w:rsidP="00485436">
            <w:pPr>
              <w:spacing w:before="120" w:after="120"/>
            </w:pPr>
            <w:r>
              <w:t>National Disability Insurance Scheme</w:t>
            </w:r>
          </w:p>
        </w:tc>
      </w:tr>
      <w:tr w:rsidR="00B00CC9" w14:paraId="784CEE0B" w14:textId="77777777" w:rsidTr="00A13BDE">
        <w:tc>
          <w:tcPr>
            <w:tcW w:w="2126" w:type="dxa"/>
          </w:tcPr>
          <w:p w14:paraId="2359E0FD" w14:textId="7477710C" w:rsidR="009D7F56" w:rsidRDefault="009D7F56" w:rsidP="00485436">
            <w:pPr>
              <w:spacing w:before="120" w:after="120"/>
            </w:pPr>
            <w:r>
              <w:t>NDIS Commission</w:t>
            </w:r>
          </w:p>
          <w:p w14:paraId="3172D6C2" w14:textId="6B1BC4CD" w:rsidR="00B00CC9" w:rsidRDefault="00B00CC9" w:rsidP="00485436">
            <w:pPr>
              <w:spacing w:before="120" w:after="120"/>
            </w:pPr>
            <w:r>
              <w:t>NPM</w:t>
            </w:r>
          </w:p>
        </w:tc>
        <w:tc>
          <w:tcPr>
            <w:tcW w:w="6793" w:type="dxa"/>
          </w:tcPr>
          <w:p w14:paraId="3E5872A2" w14:textId="6D11E934" w:rsidR="009D7F56" w:rsidRDefault="009D7F56" w:rsidP="00485436">
            <w:pPr>
              <w:spacing w:before="120" w:after="120"/>
            </w:pPr>
            <w:r>
              <w:t>NDIS Quality and Safeguards Commission</w:t>
            </w:r>
          </w:p>
          <w:p w14:paraId="1DA5AF90" w14:textId="4A190EC5" w:rsidR="00B00CC9" w:rsidRDefault="00B00CC9" w:rsidP="00485436">
            <w:pPr>
              <w:spacing w:before="120" w:after="120"/>
            </w:pPr>
            <w:r>
              <w:t xml:space="preserve">National Preventive Mechanism </w:t>
            </w:r>
          </w:p>
        </w:tc>
      </w:tr>
      <w:tr w:rsidR="00205C99" w14:paraId="56B8B587" w14:textId="77777777" w:rsidTr="00A13BDE">
        <w:tc>
          <w:tcPr>
            <w:tcW w:w="2126" w:type="dxa"/>
          </w:tcPr>
          <w:p w14:paraId="3A5507D2" w14:textId="77777777" w:rsidR="00205C99" w:rsidRDefault="00205C99" w:rsidP="00485436">
            <w:pPr>
              <w:spacing w:before="120" w:after="120"/>
            </w:pPr>
            <w:r>
              <w:t>OPA</w:t>
            </w:r>
          </w:p>
        </w:tc>
        <w:tc>
          <w:tcPr>
            <w:tcW w:w="6793" w:type="dxa"/>
          </w:tcPr>
          <w:p w14:paraId="6B19C573" w14:textId="77777777" w:rsidR="00205C99" w:rsidRDefault="00205C99" w:rsidP="00485436">
            <w:pPr>
              <w:spacing w:before="120" w:after="120"/>
            </w:pPr>
            <w:r>
              <w:t>Office of the Public Advocate</w:t>
            </w:r>
          </w:p>
        </w:tc>
      </w:tr>
      <w:tr w:rsidR="00F65931" w14:paraId="730D18D1" w14:textId="77777777" w:rsidTr="00A13BDE">
        <w:tc>
          <w:tcPr>
            <w:tcW w:w="2126" w:type="dxa"/>
          </w:tcPr>
          <w:p w14:paraId="0718D37D" w14:textId="77777777" w:rsidR="00F65931" w:rsidRDefault="00F65931" w:rsidP="00485436">
            <w:pPr>
              <w:spacing w:before="120" w:after="120"/>
            </w:pPr>
            <w:r>
              <w:t>OPCAT</w:t>
            </w:r>
          </w:p>
        </w:tc>
        <w:tc>
          <w:tcPr>
            <w:tcW w:w="6793" w:type="dxa"/>
          </w:tcPr>
          <w:p w14:paraId="5E7614E9" w14:textId="77777777" w:rsidR="00F65931" w:rsidRDefault="00F65931" w:rsidP="00485436">
            <w:pPr>
              <w:spacing w:before="120" w:after="120"/>
            </w:pPr>
            <w:r>
              <w:rPr>
                <w:lang w:val="en-US"/>
              </w:rPr>
              <w:t>Optional Protocol to the Convention Against Torture</w:t>
            </w:r>
          </w:p>
        </w:tc>
      </w:tr>
      <w:tr w:rsidR="00F65931" w14:paraId="613F9239" w14:textId="77777777" w:rsidTr="00A13BDE">
        <w:tc>
          <w:tcPr>
            <w:tcW w:w="2126" w:type="dxa"/>
          </w:tcPr>
          <w:p w14:paraId="587DF286" w14:textId="77777777" w:rsidR="00F65931" w:rsidRDefault="00F65931" w:rsidP="00485436">
            <w:pPr>
              <w:spacing w:before="120" w:after="120"/>
            </w:pPr>
            <w:r>
              <w:t>Royal Commission</w:t>
            </w:r>
          </w:p>
        </w:tc>
        <w:tc>
          <w:tcPr>
            <w:tcW w:w="6793" w:type="dxa"/>
          </w:tcPr>
          <w:p w14:paraId="72CDEE65" w14:textId="77777777" w:rsidR="00F65931" w:rsidRDefault="00F65931" w:rsidP="00485436">
            <w:pPr>
              <w:spacing w:before="120" w:after="120"/>
            </w:pPr>
            <w:r>
              <w:t xml:space="preserve">Royal Commission into Violence, Abuse, Neglect, and Exploitation of People with Disability </w:t>
            </w:r>
          </w:p>
        </w:tc>
      </w:tr>
      <w:tr w:rsidR="00205C99" w14:paraId="63A211CE" w14:textId="77777777" w:rsidTr="00A13BDE">
        <w:tc>
          <w:tcPr>
            <w:tcW w:w="2126" w:type="dxa"/>
          </w:tcPr>
          <w:p w14:paraId="5ED98686" w14:textId="77777777" w:rsidR="00205C99" w:rsidRDefault="00F65931" w:rsidP="00485436">
            <w:pPr>
              <w:spacing w:before="120" w:after="120"/>
            </w:pPr>
            <w:r>
              <w:t>SDA</w:t>
            </w:r>
          </w:p>
        </w:tc>
        <w:tc>
          <w:tcPr>
            <w:tcW w:w="6793" w:type="dxa"/>
          </w:tcPr>
          <w:p w14:paraId="5A0A9925" w14:textId="77777777" w:rsidR="00205C99" w:rsidRDefault="00F65931" w:rsidP="00485436">
            <w:pPr>
              <w:spacing w:before="120" w:after="120"/>
            </w:pPr>
            <w:r>
              <w:t>Specialist Disability Accommodation</w:t>
            </w:r>
          </w:p>
        </w:tc>
      </w:tr>
      <w:tr w:rsidR="00F65931" w14:paraId="08D1BEAE" w14:textId="77777777" w:rsidTr="00A13BDE">
        <w:tc>
          <w:tcPr>
            <w:tcW w:w="2126" w:type="dxa"/>
          </w:tcPr>
          <w:p w14:paraId="5B920538" w14:textId="77777777" w:rsidR="00F65931" w:rsidRDefault="00F65931" w:rsidP="00485436">
            <w:pPr>
              <w:spacing w:before="120" w:after="120"/>
            </w:pPr>
            <w:r>
              <w:t>STO</w:t>
            </w:r>
          </w:p>
        </w:tc>
        <w:tc>
          <w:tcPr>
            <w:tcW w:w="6793" w:type="dxa"/>
          </w:tcPr>
          <w:p w14:paraId="0BDF1914" w14:textId="77777777" w:rsidR="00F65931" w:rsidRDefault="00F65931" w:rsidP="00485436">
            <w:pPr>
              <w:spacing w:before="120" w:after="120"/>
            </w:pPr>
            <w:r>
              <w:t>Supervised Treatment Order</w:t>
            </w:r>
          </w:p>
        </w:tc>
      </w:tr>
      <w:tr w:rsidR="00F65931" w14:paraId="49EEE6CC" w14:textId="77777777" w:rsidTr="00A13BDE">
        <w:tc>
          <w:tcPr>
            <w:tcW w:w="2126" w:type="dxa"/>
          </w:tcPr>
          <w:p w14:paraId="2260764C" w14:textId="3391A610" w:rsidR="00F65931" w:rsidRDefault="00F65931" w:rsidP="00485436">
            <w:pPr>
              <w:spacing w:before="120" w:after="120"/>
            </w:pPr>
            <w:r>
              <w:t>V</w:t>
            </w:r>
            <w:r w:rsidR="001D3F31">
              <w:t>CAT</w:t>
            </w:r>
          </w:p>
        </w:tc>
        <w:tc>
          <w:tcPr>
            <w:tcW w:w="6793" w:type="dxa"/>
          </w:tcPr>
          <w:p w14:paraId="69A71574" w14:textId="54F56AB5" w:rsidR="00F65931" w:rsidRPr="00485436" w:rsidRDefault="00F65931" w:rsidP="00485436">
            <w:pPr>
              <w:spacing w:before="120" w:after="120"/>
            </w:pPr>
            <w:r>
              <w:t>Victorian</w:t>
            </w:r>
            <w:r w:rsidR="001D3F31">
              <w:t xml:space="preserve"> Civil and Administrative Tribunal</w:t>
            </w:r>
          </w:p>
        </w:tc>
      </w:tr>
    </w:tbl>
    <w:p w14:paraId="6D18E9E9" w14:textId="77777777" w:rsidR="00205C99" w:rsidRDefault="00205C99" w:rsidP="00205C99">
      <w:pPr>
        <w:pStyle w:val="Heading1"/>
      </w:pPr>
    </w:p>
    <w:p w14:paraId="6FD28C9F" w14:textId="77777777" w:rsidR="00205C99" w:rsidRDefault="00205C99" w:rsidP="00205C99">
      <w:pPr>
        <w:spacing w:before="0" w:after="0"/>
        <w:rPr>
          <w:rFonts w:eastAsia="MS Gothic"/>
          <w:b/>
          <w:bCs/>
          <w:kern w:val="32"/>
          <w:sz w:val="32"/>
          <w:szCs w:val="40"/>
          <w:lang w:eastAsia="en-US"/>
        </w:rPr>
      </w:pPr>
      <w:r>
        <w:br w:type="page"/>
      </w:r>
    </w:p>
    <w:p w14:paraId="7B69AF10" w14:textId="77777777" w:rsidR="00205C99" w:rsidRDefault="00205C99" w:rsidP="00205C99">
      <w:pPr>
        <w:pStyle w:val="Heading1OPA"/>
        <w:ind w:firstLine="0"/>
      </w:pPr>
      <w:bookmarkStart w:id="2" w:name="_Toc46949122"/>
      <w:r>
        <w:lastRenderedPageBreak/>
        <w:t>Recommendations</w:t>
      </w:r>
      <w:bookmarkEnd w:id="2"/>
    </w:p>
    <w:p w14:paraId="4F2289B4" w14:textId="77777777" w:rsidR="00194A3C" w:rsidRPr="00194A3C" w:rsidRDefault="00194A3C" w:rsidP="00194A3C">
      <w:pPr>
        <w:spacing w:line="276" w:lineRule="auto"/>
        <w:ind w:left="709"/>
        <w:rPr>
          <w:b/>
          <w:bCs/>
          <w:lang w:val="en-CA"/>
        </w:rPr>
      </w:pPr>
      <w:bookmarkStart w:id="3" w:name="_Hlk40090977"/>
      <w:r w:rsidRPr="00194A3C">
        <w:rPr>
          <w:b/>
          <w:bCs/>
          <w:lang w:val="en-CA"/>
        </w:rPr>
        <w:t>Recommendation 1</w:t>
      </w:r>
    </w:p>
    <w:p w14:paraId="7B098B0A" w14:textId="77777777" w:rsidR="00194A3C" w:rsidRPr="00124797" w:rsidRDefault="00194A3C" w:rsidP="00194A3C">
      <w:pPr>
        <w:spacing w:line="276" w:lineRule="auto"/>
        <w:ind w:left="709"/>
        <w:rPr>
          <w:lang w:val="en-CA"/>
        </w:rPr>
      </w:pPr>
      <w:r w:rsidRPr="00124797">
        <w:rPr>
          <w:lang w:val="en-CA"/>
        </w:rPr>
        <w:t xml:space="preserve">Acknowledging the additional risks and challenges faced by people with cognitive impairment during a public health emergency, the relevant state and territory department should ensure that accessible easy English guidelines to restrictions and explainers (as requested by the sector’s peak advocacy bodies) are made available as a priority. </w:t>
      </w:r>
    </w:p>
    <w:p w14:paraId="3827F7DE" w14:textId="77777777" w:rsidR="00194A3C" w:rsidRPr="00194A3C" w:rsidRDefault="00194A3C" w:rsidP="00194A3C">
      <w:pPr>
        <w:spacing w:line="276" w:lineRule="auto"/>
        <w:ind w:left="709"/>
        <w:rPr>
          <w:b/>
          <w:bCs/>
          <w:lang w:val="en-CA"/>
        </w:rPr>
      </w:pPr>
      <w:r w:rsidRPr="00194A3C">
        <w:rPr>
          <w:b/>
          <w:bCs/>
          <w:lang w:val="en-CA"/>
        </w:rPr>
        <w:t>Recommendation 2</w:t>
      </w:r>
    </w:p>
    <w:p w14:paraId="705CD597" w14:textId="196D85A9" w:rsidR="00194A3C" w:rsidRPr="00124797" w:rsidRDefault="00194A3C" w:rsidP="00194A3C">
      <w:pPr>
        <w:spacing w:line="276" w:lineRule="auto"/>
        <w:ind w:left="709"/>
        <w:rPr>
          <w:lang w:val="en-CA"/>
        </w:rPr>
      </w:pPr>
      <w:r w:rsidRPr="00124797">
        <w:rPr>
          <w:lang w:val="en-CA"/>
        </w:rPr>
        <w:t xml:space="preserve">Acknowledging the additional risks and challenges faced by people with disability during a public health emergency, Chief Health Officers should seek advice from key disability advocacy groups and the Office of the Public Advocate (or its jurisdictional equivalent) to enable all legally binding directions to be clearly articulated in a way that </w:t>
      </w:r>
      <w:r w:rsidR="002C6D4A">
        <w:rPr>
          <w:lang w:val="en-CA"/>
        </w:rPr>
        <w:t>facilitates</w:t>
      </w:r>
      <w:r w:rsidR="002C6D4A" w:rsidRPr="00124797">
        <w:rPr>
          <w:lang w:val="en-CA"/>
        </w:rPr>
        <w:t xml:space="preserve"> </w:t>
      </w:r>
      <w:r w:rsidRPr="00124797">
        <w:rPr>
          <w:lang w:val="en-CA"/>
        </w:rPr>
        <w:t>compliance by people with disability.</w:t>
      </w:r>
    </w:p>
    <w:p w14:paraId="347AE8CF" w14:textId="77777777" w:rsidR="00194A3C" w:rsidRPr="00194A3C" w:rsidRDefault="00194A3C" w:rsidP="00194A3C">
      <w:pPr>
        <w:spacing w:line="276" w:lineRule="auto"/>
        <w:ind w:left="709"/>
        <w:rPr>
          <w:b/>
          <w:bCs/>
        </w:rPr>
      </w:pPr>
      <w:r w:rsidRPr="00194A3C">
        <w:rPr>
          <w:b/>
          <w:bCs/>
        </w:rPr>
        <w:t>Recommendation 3</w:t>
      </w:r>
    </w:p>
    <w:p w14:paraId="6A4216DA" w14:textId="77777777" w:rsidR="00194A3C" w:rsidRPr="00124797" w:rsidRDefault="00194A3C" w:rsidP="00194A3C">
      <w:pPr>
        <w:spacing w:line="276" w:lineRule="auto"/>
        <w:ind w:left="709"/>
        <w:rPr>
          <w:lang w:val="en-CA"/>
        </w:rPr>
      </w:pPr>
      <w:r w:rsidRPr="00124797">
        <w:rPr>
          <w:lang w:val="en-CA"/>
        </w:rPr>
        <w:t>During a public health emergency, state and territory governments should convene working groups of relevant industry, consumer and advocacy peak bodies to develop and communicate human rights consistent advice around necessary restrictions and mitigation strategies in group home settings.</w:t>
      </w:r>
    </w:p>
    <w:p w14:paraId="0473983E" w14:textId="77777777" w:rsidR="00194A3C" w:rsidRPr="00194A3C" w:rsidRDefault="00194A3C" w:rsidP="00194A3C">
      <w:pPr>
        <w:spacing w:line="276" w:lineRule="auto"/>
        <w:ind w:left="709"/>
        <w:rPr>
          <w:b/>
          <w:bCs/>
          <w:lang w:val="en-CA"/>
        </w:rPr>
      </w:pPr>
      <w:r w:rsidRPr="00194A3C">
        <w:rPr>
          <w:b/>
          <w:bCs/>
          <w:lang w:val="en-CA"/>
        </w:rPr>
        <w:t>Recommendation 4</w:t>
      </w:r>
    </w:p>
    <w:p w14:paraId="61A43D57" w14:textId="77777777" w:rsidR="00194A3C" w:rsidRPr="00124797" w:rsidRDefault="00194A3C" w:rsidP="00194A3C">
      <w:pPr>
        <w:spacing w:line="276" w:lineRule="auto"/>
        <w:ind w:left="709"/>
        <w:rPr>
          <w:lang w:val="en-CA"/>
        </w:rPr>
      </w:pPr>
      <w:r w:rsidRPr="00124797">
        <w:rPr>
          <w:lang w:val="en-CA"/>
        </w:rPr>
        <w:t>The NDIA should ensure people with disability (with the help of their supporters) have real choices when making housing decisions about where, how and with whom they live.</w:t>
      </w:r>
    </w:p>
    <w:p w14:paraId="74D222FF" w14:textId="77777777" w:rsidR="00194A3C" w:rsidRPr="00194A3C" w:rsidRDefault="00194A3C" w:rsidP="00194A3C">
      <w:pPr>
        <w:spacing w:line="276" w:lineRule="auto"/>
        <w:ind w:left="709"/>
        <w:rPr>
          <w:b/>
          <w:bCs/>
        </w:rPr>
      </w:pPr>
      <w:r w:rsidRPr="00194A3C">
        <w:rPr>
          <w:b/>
          <w:bCs/>
        </w:rPr>
        <w:t>Recommendation 5</w:t>
      </w:r>
    </w:p>
    <w:p w14:paraId="3C957C29" w14:textId="77777777" w:rsidR="00194A3C" w:rsidRPr="00124797" w:rsidRDefault="00194A3C" w:rsidP="00194A3C">
      <w:pPr>
        <w:spacing w:line="276" w:lineRule="auto"/>
        <w:ind w:left="709"/>
      </w:pPr>
      <w:r w:rsidRPr="00124797">
        <w:t>Easy English and plain English guidance should be developed as a matter of urgency to help allay the fears of people living in congregate care facilities about what will happen to them if an outbreak occurs in their home.</w:t>
      </w:r>
    </w:p>
    <w:p w14:paraId="4DC8FD8C" w14:textId="77777777" w:rsidR="00194A3C" w:rsidRPr="00194A3C" w:rsidRDefault="00194A3C" w:rsidP="00194A3C">
      <w:pPr>
        <w:spacing w:line="276" w:lineRule="auto"/>
        <w:ind w:left="709"/>
        <w:rPr>
          <w:b/>
          <w:bCs/>
        </w:rPr>
      </w:pPr>
      <w:r w:rsidRPr="00194A3C">
        <w:rPr>
          <w:b/>
          <w:bCs/>
        </w:rPr>
        <w:t>Recommendation 6</w:t>
      </w:r>
    </w:p>
    <w:p w14:paraId="32B3B6BB" w14:textId="77777777" w:rsidR="00194A3C" w:rsidRPr="00124797" w:rsidRDefault="00194A3C" w:rsidP="00194A3C">
      <w:pPr>
        <w:spacing w:line="276" w:lineRule="auto"/>
        <w:ind w:left="709"/>
      </w:pPr>
      <w:r w:rsidRPr="00124797">
        <w:t>The NDIA should fund the development of robustly built disability respite accommodation to ensure the safety and wellbeing of people with disability who need this type of accommodation in a crisis.</w:t>
      </w:r>
    </w:p>
    <w:p w14:paraId="3375F9BA" w14:textId="77777777" w:rsidR="00194A3C" w:rsidRPr="00194A3C" w:rsidRDefault="00194A3C" w:rsidP="00194A3C">
      <w:pPr>
        <w:spacing w:line="276" w:lineRule="auto"/>
        <w:ind w:left="709"/>
        <w:rPr>
          <w:b/>
          <w:bCs/>
        </w:rPr>
      </w:pPr>
      <w:r w:rsidRPr="00194A3C">
        <w:rPr>
          <w:b/>
          <w:bCs/>
        </w:rPr>
        <w:t>Recommendation 7</w:t>
      </w:r>
    </w:p>
    <w:p w14:paraId="4FFA2D96" w14:textId="77777777" w:rsidR="00194A3C" w:rsidRPr="00124797" w:rsidRDefault="00194A3C" w:rsidP="00194A3C">
      <w:pPr>
        <w:spacing w:line="276" w:lineRule="auto"/>
        <w:ind w:left="709"/>
      </w:pPr>
      <w:r w:rsidRPr="00124797">
        <w:t xml:space="preserve">Government responses to homelessness should be developed that incorporate lessons from the special homelessness measures enacted during the COVID-19 pandemic. </w:t>
      </w:r>
    </w:p>
    <w:p w14:paraId="4BB3A53D" w14:textId="77777777" w:rsidR="00194A3C" w:rsidRPr="00194A3C" w:rsidRDefault="00194A3C" w:rsidP="00194A3C">
      <w:pPr>
        <w:spacing w:line="276" w:lineRule="auto"/>
        <w:ind w:left="709"/>
        <w:rPr>
          <w:b/>
          <w:bCs/>
        </w:rPr>
      </w:pPr>
      <w:r w:rsidRPr="00194A3C">
        <w:rPr>
          <w:b/>
          <w:bCs/>
        </w:rPr>
        <w:t>Recommendation 8</w:t>
      </w:r>
    </w:p>
    <w:p w14:paraId="45D6F585" w14:textId="77777777" w:rsidR="00194A3C" w:rsidRPr="00124797" w:rsidRDefault="00194A3C" w:rsidP="00194A3C">
      <w:pPr>
        <w:spacing w:line="276" w:lineRule="auto"/>
        <w:ind w:left="709"/>
      </w:pPr>
      <w:r w:rsidRPr="00124797">
        <w:t>State Governments responsible for regulating various disability accommodation settings should actively and pre-emptively consider the kinds of additional supports these services might need during public health emergencies.</w:t>
      </w:r>
    </w:p>
    <w:p w14:paraId="3A07283E" w14:textId="452100E7" w:rsidR="00194A3C" w:rsidRPr="00194A3C" w:rsidRDefault="00194A3C" w:rsidP="00194A3C">
      <w:pPr>
        <w:ind w:left="709"/>
        <w:rPr>
          <w:b/>
          <w:bCs/>
          <w:lang w:eastAsia="en-US"/>
        </w:rPr>
      </w:pPr>
      <w:r w:rsidRPr="00194A3C">
        <w:rPr>
          <w:b/>
          <w:bCs/>
          <w:lang w:eastAsia="en-US"/>
        </w:rPr>
        <w:lastRenderedPageBreak/>
        <w:t xml:space="preserve">Recommendation </w:t>
      </w:r>
      <w:r w:rsidR="008D2C23">
        <w:rPr>
          <w:b/>
          <w:bCs/>
          <w:lang w:eastAsia="en-US"/>
        </w:rPr>
        <w:t>9</w:t>
      </w:r>
    </w:p>
    <w:p w14:paraId="3F9F9ECD" w14:textId="77777777" w:rsidR="00194A3C" w:rsidRPr="00124797" w:rsidRDefault="00194A3C" w:rsidP="00194A3C">
      <w:pPr>
        <w:ind w:left="709"/>
        <w:rPr>
          <w:lang w:eastAsia="en-US"/>
        </w:rPr>
      </w:pPr>
      <w:r w:rsidRPr="00124797">
        <w:t xml:space="preserve">During a public health emergency, </w:t>
      </w:r>
      <w:r w:rsidRPr="00124797">
        <w:rPr>
          <w:lang w:eastAsia="en-US"/>
        </w:rPr>
        <w:t>NDIA should consider alternative or interim arrangements for developing and approving plans that would normally require face-to-face allied health or specialist assessments so that people are not trapped without sufficient supports.</w:t>
      </w:r>
    </w:p>
    <w:p w14:paraId="699BF4DD" w14:textId="2A854474" w:rsidR="00194A3C" w:rsidRPr="0071580A" w:rsidRDefault="00194A3C" w:rsidP="00194A3C">
      <w:pPr>
        <w:ind w:left="709"/>
        <w:rPr>
          <w:b/>
          <w:bCs/>
          <w:lang w:eastAsia="en-US"/>
        </w:rPr>
      </w:pPr>
      <w:r w:rsidRPr="0071580A">
        <w:rPr>
          <w:b/>
          <w:bCs/>
          <w:lang w:eastAsia="en-US"/>
        </w:rPr>
        <w:t>Recommendation 1</w:t>
      </w:r>
      <w:r w:rsidR="008D2C23">
        <w:rPr>
          <w:b/>
          <w:bCs/>
          <w:lang w:eastAsia="en-US"/>
        </w:rPr>
        <w:t>0</w:t>
      </w:r>
    </w:p>
    <w:p w14:paraId="1F0DACB0" w14:textId="77777777" w:rsidR="00194A3C" w:rsidRPr="00124797" w:rsidRDefault="00194A3C" w:rsidP="00194A3C">
      <w:pPr>
        <w:ind w:left="709"/>
        <w:rPr>
          <w:lang w:eastAsia="en-US"/>
        </w:rPr>
      </w:pPr>
      <w:r w:rsidRPr="0071580A">
        <w:t xml:space="preserve">During a public health emergency, </w:t>
      </w:r>
      <w:r w:rsidRPr="0071580A">
        <w:rPr>
          <w:lang w:eastAsia="en-US"/>
        </w:rPr>
        <w:t>NDIA should consider changes to funding practices that promote flexibility and enable participants to be better supported.</w:t>
      </w:r>
      <w:r w:rsidRPr="00124797">
        <w:rPr>
          <w:lang w:eastAsia="en-US"/>
        </w:rPr>
        <w:t xml:space="preserve"> </w:t>
      </w:r>
    </w:p>
    <w:p w14:paraId="6AA68CB7" w14:textId="70484A13" w:rsidR="00194A3C" w:rsidRPr="00194A3C" w:rsidRDefault="00194A3C" w:rsidP="00194A3C">
      <w:pPr>
        <w:spacing w:line="276" w:lineRule="auto"/>
        <w:ind w:left="709"/>
        <w:rPr>
          <w:b/>
          <w:bCs/>
        </w:rPr>
      </w:pPr>
      <w:r w:rsidRPr="00194A3C">
        <w:rPr>
          <w:b/>
          <w:bCs/>
        </w:rPr>
        <w:t>Recommendation 1</w:t>
      </w:r>
      <w:r w:rsidR="008D2C23">
        <w:rPr>
          <w:b/>
          <w:bCs/>
        </w:rPr>
        <w:t>1</w:t>
      </w:r>
    </w:p>
    <w:p w14:paraId="12712BD7" w14:textId="77777777" w:rsidR="00194A3C" w:rsidRPr="00124797" w:rsidRDefault="00194A3C" w:rsidP="00194A3C">
      <w:pPr>
        <w:spacing w:line="276" w:lineRule="auto"/>
        <w:ind w:left="709"/>
      </w:pPr>
      <w:r w:rsidRPr="00124797">
        <w:t>During a public health emergency, hospitals and health care providers should ensure that any policies aimed at reducing service demand consider and mitigate their potential impacts on people with disability.</w:t>
      </w:r>
    </w:p>
    <w:p w14:paraId="1AAB850A" w14:textId="03F49499" w:rsidR="00194A3C" w:rsidRPr="00194A3C" w:rsidRDefault="00194A3C" w:rsidP="00194A3C">
      <w:pPr>
        <w:spacing w:line="276" w:lineRule="auto"/>
        <w:ind w:left="709"/>
        <w:rPr>
          <w:b/>
          <w:bCs/>
        </w:rPr>
      </w:pPr>
      <w:r w:rsidRPr="00194A3C">
        <w:rPr>
          <w:b/>
          <w:bCs/>
        </w:rPr>
        <w:t>Recommendation 1</w:t>
      </w:r>
      <w:r w:rsidR="008D2C23">
        <w:rPr>
          <w:b/>
          <w:bCs/>
        </w:rPr>
        <w:t>2</w:t>
      </w:r>
    </w:p>
    <w:p w14:paraId="411B915F" w14:textId="77777777" w:rsidR="00194A3C" w:rsidRPr="00124797" w:rsidRDefault="00194A3C" w:rsidP="00194A3C">
      <w:pPr>
        <w:spacing w:line="276" w:lineRule="auto"/>
        <w:ind w:left="709"/>
      </w:pPr>
      <w:r w:rsidRPr="00124797">
        <w:t>DHHS, and other state and territory agencies as required, should revisit the services that are interrupted by the pandemic to see if they can be provided in other ways to promote family and community capacity building and the reunification of families with disability.</w:t>
      </w:r>
    </w:p>
    <w:p w14:paraId="59A4C0F4" w14:textId="56950041" w:rsidR="00194A3C" w:rsidRPr="00194A3C" w:rsidRDefault="00194A3C" w:rsidP="00194A3C">
      <w:pPr>
        <w:spacing w:line="276" w:lineRule="auto"/>
        <w:ind w:left="709"/>
        <w:rPr>
          <w:b/>
          <w:bCs/>
        </w:rPr>
      </w:pPr>
      <w:r w:rsidRPr="00194A3C">
        <w:rPr>
          <w:b/>
          <w:bCs/>
        </w:rPr>
        <w:t>Recommendation 1</w:t>
      </w:r>
      <w:r w:rsidR="008D2C23">
        <w:rPr>
          <w:b/>
          <w:bCs/>
        </w:rPr>
        <w:t>3</w:t>
      </w:r>
    </w:p>
    <w:p w14:paraId="208B2982" w14:textId="77777777" w:rsidR="00194A3C" w:rsidRPr="00124797" w:rsidRDefault="00194A3C" w:rsidP="00194A3C">
      <w:pPr>
        <w:spacing w:line="276" w:lineRule="auto"/>
        <w:ind w:left="709"/>
      </w:pPr>
      <w:r w:rsidRPr="00124797">
        <w:t xml:space="preserve">The Victorian Government should pass emergency provisions to permit the Court to extend reunification timelines legislated by the </w:t>
      </w:r>
      <w:r w:rsidRPr="00476A5B">
        <w:rPr>
          <w:i/>
        </w:rPr>
        <w:t>Children, Youth and Families Act 2005</w:t>
      </w:r>
      <w:r w:rsidRPr="00124797">
        <w:t>. Other jurisdictions should act similarly where relevant.</w:t>
      </w:r>
    </w:p>
    <w:p w14:paraId="15C4240A" w14:textId="48D3EDA6" w:rsidR="00194A3C" w:rsidRPr="00194A3C" w:rsidRDefault="00194A3C" w:rsidP="00194A3C">
      <w:pPr>
        <w:spacing w:line="276" w:lineRule="auto"/>
        <w:ind w:left="709"/>
        <w:rPr>
          <w:b/>
          <w:bCs/>
          <w:lang w:eastAsia="en-US"/>
        </w:rPr>
      </w:pPr>
      <w:r w:rsidRPr="00194A3C">
        <w:rPr>
          <w:b/>
          <w:bCs/>
          <w:lang w:eastAsia="en-US"/>
        </w:rPr>
        <w:t>Recommendation 1</w:t>
      </w:r>
      <w:r w:rsidR="008D2C23">
        <w:rPr>
          <w:b/>
          <w:bCs/>
          <w:lang w:eastAsia="en-US"/>
        </w:rPr>
        <w:t>4</w:t>
      </w:r>
    </w:p>
    <w:p w14:paraId="20A755DF" w14:textId="77777777" w:rsidR="00194A3C" w:rsidRPr="00124797" w:rsidRDefault="00194A3C" w:rsidP="00194A3C">
      <w:pPr>
        <w:spacing w:line="276" w:lineRule="auto"/>
        <w:ind w:left="709"/>
        <w:rPr>
          <w:lang w:eastAsia="en-US"/>
        </w:rPr>
      </w:pPr>
      <w:r w:rsidRPr="00124797">
        <w:rPr>
          <w:lang w:eastAsia="en-US"/>
        </w:rPr>
        <w:t>NDIA and government departments with health and disability responsibilities should be preparing for future public health emergencies by enhancing the ability of people with disability to access and use new technologies.</w:t>
      </w:r>
    </w:p>
    <w:p w14:paraId="4E96155E" w14:textId="08E0A2B2" w:rsidR="00194A3C" w:rsidRPr="00194A3C" w:rsidRDefault="00194A3C" w:rsidP="00194A3C">
      <w:pPr>
        <w:spacing w:line="276" w:lineRule="auto"/>
        <w:ind w:left="709"/>
        <w:rPr>
          <w:b/>
          <w:bCs/>
          <w:lang w:eastAsia="en-US"/>
        </w:rPr>
      </w:pPr>
      <w:r w:rsidRPr="00194A3C">
        <w:rPr>
          <w:b/>
          <w:bCs/>
          <w:lang w:eastAsia="en-US"/>
        </w:rPr>
        <w:t>Recommendation 1</w:t>
      </w:r>
      <w:r w:rsidR="008D2C23">
        <w:rPr>
          <w:b/>
          <w:bCs/>
          <w:lang w:eastAsia="en-US"/>
        </w:rPr>
        <w:t>5</w:t>
      </w:r>
    </w:p>
    <w:p w14:paraId="6EBE8A51" w14:textId="77777777" w:rsidR="00194A3C" w:rsidRPr="00124797" w:rsidRDefault="00194A3C" w:rsidP="00194A3C">
      <w:pPr>
        <w:spacing w:line="276" w:lineRule="auto"/>
        <w:ind w:left="709"/>
        <w:rPr>
          <w:lang w:eastAsia="en-US"/>
        </w:rPr>
      </w:pPr>
      <w:r w:rsidRPr="00124797">
        <w:rPr>
          <w:lang w:eastAsia="en-US"/>
        </w:rPr>
        <w:t>During a long-running public emergency, Australian, state and territory health departments should communicate to the public the importance of monitoring and responding to their non-pandemic related health concerns in a timely manner.</w:t>
      </w:r>
    </w:p>
    <w:p w14:paraId="1ECD3718" w14:textId="7D7CB58D" w:rsidR="00194A3C" w:rsidRPr="00194A3C" w:rsidRDefault="00194A3C" w:rsidP="00194A3C">
      <w:pPr>
        <w:spacing w:line="276" w:lineRule="auto"/>
        <w:ind w:left="709"/>
        <w:rPr>
          <w:b/>
          <w:bCs/>
        </w:rPr>
      </w:pPr>
      <w:r w:rsidRPr="00194A3C">
        <w:rPr>
          <w:b/>
          <w:bCs/>
        </w:rPr>
        <w:t>Recommendation 1</w:t>
      </w:r>
      <w:r w:rsidR="008D2C23">
        <w:rPr>
          <w:b/>
          <w:bCs/>
        </w:rPr>
        <w:t>6</w:t>
      </w:r>
    </w:p>
    <w:p w14:paraId="41C75C53" w14:textId="77777777" w:rsidR="00194A3C" w:rsidRPr="00124797" w:rsidRDefault="00194A3C" w:rsidP="00194A3C">
      <w:pPr>
        <w:spacing w:line="276" w:lineRule="auto"/>
        <w:ind w:left="709"/>
      </w:pPr>
      <w:r w:rsidRPr="00124797">
        <w:t xml:space="preserve">State and Territory Governments and the NDIS Quality and Safeguards Commission should work collaboratively to explore how safeguards for residents in congregate care can be supplemented during long-running public health emergencies. </w:t>
      </w:r>
    </w:p>
    <w:p w14:paraId="182DB65E" w14:textId="28C97A62" w:rsidR="00194A3C" w:rsidRPr="00194A3C" w:rsidRDefault="00194A3C" w:rsidP="00194A3C">
      <w:pPr>
        <w:spacing w:line="276" w:lineRule="auto"/>
        <w:ind w:left="709"/>
        <w:rPr>
          <w:b/>
          <w:bCs/>
        </w:rPr>
      </w:pPr>
      <w:r w:rsidRPr="00194A3C">
        <w:rPr>
          <w:b/>
          <w:bCs/>
        </w:rPr>
        <w:t>Recommendation 1</w:t>
      </w:r>
      <w:r w:rsidR="008D2C23">
        <w:rPr>
          <w:b/>
          <w:bCs/>
        </w:rPr>
        <w:t>7</w:t>
      </w:r>
    </w:p>
    <w:p w14:paraId="2CBA024D" w14:textId="41B12CCD" w:rsidR="00194A3C" w:rsidRDefault="00194A3C" w:rsidP="00194A3C">
      <w:pPr>
        <w:spacing w:line="276" w:lineRule="auto"/>
        <w:ind w:left="709"/>
      </w:pPr>
      <w:r w:rsidRPr="00124797">
        <w:t>Corrections Victoria should ensure that the rights protections of the CISO program are embedded in policy and in prison contracts.</w:t>
      </w:r>
    </w:p>
    <w:p w14:paraId="45108518" w14:textId="77777777" w:rsidR="00961484" w:rsidRPr="00124797" w:rsidRDefault="00961484" w:rsidP="00194A3C">
      <w:pPr>
        <w:spacing w:line="276" w:lineRule="auto"/>
        <w:ind w:left="709"/>
      </w:pPr>
    </w:p>
    <w:p w14:paraId="76F708C1" w14:textId="50732C60" w:rsidR="00194A3C" w:rsidRPr="0071580A" w:rsidRDefault="00194A3C" w:rsidP="00194A3C">
      <w:pPr>
        <w:spacing w:line="276" w:lineRule="auto"/>
        <w:ind w:left="709"/>
        <w:rPr>
          <w:b/>
          <w:bCs/>
        </w:rPr>
      </w:pPr>
      <w:r w:rsidRPr="0071580A">
        <w:rPr>
          <w:b/>
          <w:bCs/>
        </w:rPr>
        <w:lastRenderedPageBreak/>
        <w:t>Recommendation 1</w:t>
      </w:r>
      <w:r w:rsidR="008D2C23">
        <w:rPr>
          <w:b/>
          <w:bCs/>
        </w:rPr>
        <w:t>8</w:t>
      </w:r>
    </w:p>
    <w:p w14:paraId="7E17CA92" w14:textId="77777777" w:rsidR="00194A3C" w:rsidRPr="00124797" w:rsidRDefault="00194A3C" w:rsidP="00194A3C">
      <w:pPr>
        <w:spacing w:line="276" w:lineRule="auto"/>
        <w:ind w:left="709"/>
      </w:pPr>
      <w:r w:rsidRPr="0071580A">
        <w:t>The Royal Commission should recommend that, wherever possible, safeguarding programs for people with disability be embedded in legislation and government contracts.</w:t>
      </w:r>
    </w:p>
    <w:p w14:paraId="71C349FB" w14:textId="380E655E" w:rsidR="00194A3C" w:rsidRPr="00194A3C" w:rsidRDefault="00194A3C" w:rsidP="00194A3C">
      <w:pPr>
        <w:spacing w:line="276" w:lineRule="auto"/>
        <w:ind w:left="709"/>
        <w:rPr>
          <w:b/>
          <w:bCs/>
          <w:lang w:eastAsia="en-US"/>
        </w:rPr>
      </w:pPr>
      <w:r w:rsidRPr="00194A3C">
        <w:rPr>
          <w:b/>
          <w:bCs/>
          <w:lang w:eastAsia="en-US"/>
        </w:rPr>
        <w:t xml:space="preserve">Recommendation </w:t>
      </w:r>
      <w:r w:rsidR="008D2C23">
        <w:rPr>
          <w:b/>
          <w:bCs/>
          <w:lang w:eastAsia="en-US"/>
        </w:rPr>
        <w:t>19</w:t>
      </w:r>
    </w:p>
    <w:p w14:paraId="6BFA27A1" w14:textId="77777777" w:rsidR="00194A3C" w:rsidRPr="00124797" w:rsidRDefault="00194A3C" w:rsidP="00194A3C">
      <w:pPr>
        <w:spacing w:line="276" w:lineRule="auto"/>
        <w:ind w:left="709"/>
        <w:rPr>
          <w:lang w:eastAsia="en-US"/>
        </w:rPr>
      </w:pPr>
      <w:r w:rsidRPr="00124797">
        <w:rPr>
          <w:lang w:eastAsia="en-US"/>
        </w:rPr>
        <w:t>State and Territory Governments should invest more in public housing and ensure that it meets generally accepted community living standards.</w:t>
      </w:r>
    </w:p>
    <w:p w14:paraId="76CF38A8" w14:textId="73568FF1" w:rsidR="00194A3C" w:rsidRDefault="00194A3C" w:rsidP="00194A3C">
      <w:pPr>
        <w:spacing w:line="276" w:lineRule="auto"/>
        <w:ind w:left="709"/>
        <w:rPr>
          <w:b/>
          <w:bCs/>
          <w:lang w:eastAsia="en-US"/>
        </w:rPr>
      </w:pPr>
      <w:r>
        <w:rPr>
          <w:b/>
          <w:bCs/>
          <w:lang w:eastAsia="en-US"/>
        </w:rPr>
        <w:t>Recommendation 2</w:t>
      </w:r>
      <w:r w:rsidR="008D2C23">
        <w:rPr>
          <w:b/>
          <w:bCs/>
          <w:lang w:eastAsia="en-US"/>
        </w:rPr>
        <w:t>0</w:t>
      </w:r>
    </w:p>
    <w:p w14:paraId="06BD77E6" w14:textId="77777777" w:rsidR="00194A3C" w:rsidRPr="00124797" w:rsidRDefault="00194A3C" w:rsidP="00194A3C">
      <w:pPr>
        <w:spacing w:line="276" w:lineRule="auto"/>
        <w:ind w:left="709"/>
        <w:rPr>
          <w:lang w:eastAsia="en-US"/>
        </w:rPr>
      </w:pPr>
      <w:r w:rsidRPr="00124797">
        <w:rPr>
          <w:lang w:eastAsia="en-US"/>
        </w:rPr>
        <w:t>State and Territory Governments should invest more in social programs to support and build strong relationships with public housing residents.</w:t>
      </w:r>
    </w:p>
    <w:p w14:paraId="2DAD7791" w14:textId="69F03ADD" w:rsidR="00194A3C" w:rsidRDefault="00194A3C" w:rsidP="00194A3C">
      <w:pPr>
        <w:spacing w:line="276" w:lineRule="auto"/>
        <w:ind w:left="709"/>
        <w:rPr>
          <w:b/>
          <w:bCs/>
          <w:lang w:eastAsia="en-US"/>
        </w:rPr>
      </w:pPr>
      <w:r w:rsidRPr="00140BE9">
        <w:rPr>
          <w:b/>
          <w:bCs/>
          <w:lang w:eastAsia="en-US"/>
        </w:rPr>
        <w:t xml:space="preserve">Recommendation </w:t>
      </w:r>
      <w:r>
        <w:rPr>
          <w:b/>
          <w:bCs/>
          <w:lang w:eastAsia="en-US"/>
        </w:rPr>
        <w:t>2</w:t>
      </w:r>
      <w:r w:rsidR="008D2C23">
        <w:rPr>
          <w:b/>
          <w:bCs/>
          <w:lang w:eastAsia="en-US"/>
        </w:rPr>
        <w:t>1</w:t>
      </w:r>
    </w:p>
    <w:p w14:paraId="72D0B450" w14:textId="77777777" w:rsidR="00194A3C" w:rsidRPr="00124797" w:rsidRDefault="00194A3C" w:rsidP="00194A3C">
      <w:pPr>
        <w:spacing w:line="276" w:lineRule="auto"/>
        <w:ind w:left="709"/>
        <w:rPr>
          <w:lang w:eastAsia="en-US"/>
        </w:rPr>
      </w:pPr>
      <w:r w:rsidRPr="00124797">
        <w:rPr>
          <w:lang w:eastAsia="en-US"/>
        </w:rPr>
        <w:t>The Royal Commission should consider recommendations made by the Victorian Ombudsman following her investigation into the tower lockdown, as they come to light.</w:t>
      </w:r>
    </w:p>
    <w:p w14:paraId="03F9BAC4" w14:textId="1F31BAB3" w:rsidR="00124797" w:rsidRDefault="00194A3C" w:rsidP="00194A3C">
      <w:pPr>
        <w:spacing w:line="276" w:lineRule="auto"/>
        <w:ind w:left="709"/>
        <w:rPr>
          <w:b/>
          <w:bCs/>
        </w:rPr>
      </w:pPr>
      <w:r w:rsidRPr="00245C73">
        <w:rPr>
          <w:b/>
          <w:bCs/>
        </w:rPr>
        <w:t xml:space="preserve">Recommendation </w:t>
      </w:r>
      <w:r>
        <w:rPr>
          <w:b/>
          <w:bCs/>
        </w:rPr>
        <w:t>2</w:t>
      </w:r>
      <w:r w:rsidR="008D2C23">
        <w:rPr>
          <w:b/>
          <w:bCs/>
        </w:rPr>
        <w:t>2</w:t>
      </w:r>
    </w:p>
    <w:p w14:paraId="4BA25B92" w14:textId="1E7EA61B" w:rsidR="00194A3C" w:rsidRPr="00124797" w:rsidRDefault="00194A3C" w:rsidP="00194A3C">
      <w:pPr>
        <w:spacing w:line="276" w:lineRule="auto"/>
        <w:ind w:left="709"/>
      </w:pPr>
      <w:r w:rsidRPr="00124797">
        <w:t>Australian, State and Territory Health Departments should mandate the creation of Scarce Allocation Resource Teams in hospitals across the country in preparation for a health system resources crisis.</w:t>
      </w:r>
    </w:p>
    <w:p w14:paraId="06EDA3F2" w14:textId="65B71ECE" w:rsidR="00952775" w:rsidRDefault="00952775" w:rsidP="00423B29">
      <w:pPr>
        <w:spacing w:line="276" w:lineRule="auto"/>
        <w:ind w:left="709"/>
        <w:rPr>
          <w:bCs/>
          <w:lang w:val="en-CA"/>
        </w:rPr>
      </w:pPr>
    </w:p>
    <w:p w14:paraId="4065B40A" w14:textId="3F30E530" w:rsidR="00423B29" w:rsidRDefault="00423B29">
      <w:pPr>
        <w:spacing w:before="0" w:after="0"/>
        <w:rPr>
          <w:rFonts w:eastAsia="MS Gothic"/>
          <w:b/>
          <w:bCs/>
          <w:kern w:val="32"/>
          <w:sz w:val="32"/>
          <w:szCs w:val="40"/>
          <w:lang w:eastAsia="en-US"/>
        </w:rPr>
      </w:pPr>
      <w:r>
        <w:br w:type="page"/>
      </w:r>
      <w:bookmarkEnd w:id="3"/>
    </w:p>
    <w:p w14:paraId="18B8CD79" w14:textId="77777777" w:rsidR="009F3012" w:rsidRPr="007D6427" w:rsidRDefault="009F3012" w:rsidP="009F3012">
      <w:pPr>
        <w:pStyle w:val="Heading1OPA"/>
        <w:numPr>
          <w:ilvl w:val="0"/>
          <w:numId w:val="16"/>
        </w:numPr>
        <w:ind w:left="709" w:hanging="709"/>
      </w:pPr>
      <w:bookmarkStart w:id="4" w:name="_Toc505072814"/>
      <w:bookmarkStart w:id="5" w:name="_Toc46949123"/>
      <w:bookmarkStart w:id="6" w:name="_Toc505072815"/>
      <w:r w:rsidRPr="007D6427">
        <w:lastRenderedPageBreak/>
        <w:t>Introduction</w:t>
      </w:r>
      <w:bookmarkEnd w:id="4"/>
      <w:bookmarkEnd w:id="5"/>
    </w:p>
    <w:p w14:paraId="04AF510F" w14:textId="77777777" w:rsidR="009F3012" w:rsidRDefault="009F3012" w:rsidP="009F3012">
      <w:pPr>
        <w:pStyle w:val="Heading2OPA"/>
        <w:numPr>
          <w:ilvl w:val="1"/>
          <w:numId w:val="16"/>
        </w:numPr>
        <w:ind w:left="709" w:hanging="709"/>
      </w:pPr>
      <w:bookmarkStart w:id="7" w:name="_Toc46949124"/>
      <w:r>
        <w:t>About the Office of the Public Advocate</w:t>
      </w:r>
      <w:bookmarkEnd w:id="7"/>
    </w:p>
    <w:p w14:paraId="54C56578" w14:textId="77777777" w:rsidR="009F3012" w:rsidRDefault="009F3012" w:rsidP="0062276B">
      <w:pPr>
        <w:spacing w:line="276" w:lineRule="auto"/>
        <w:ind w:left="709"/>
        <w:rPr>
          <w:lang w:eastAsia="en-US"/>
        </w:rPr>
      </w:pPr>
      <w:r>
        <w:t xml:space="preserve">The Office </w:t>
      </w:r>
      <w:r w:rsidRPr="30CC999B">
        <w:rPr>
          <w:lang w:eastAsia="en-US"/>
        </w:rPr>
        <w:t xml:space="preserve">of the Public Advocate (OPA) is a Victorian statutory office, independent of government and government services, that works to safeguard the rights and interests of people with disability. The Public Advocate is appointed by the Governor in Council and is answerable to the Victorian </w:t>
      </w:r>
      <w:r w:rsidR="006E22F6" w:rsidRPr="30CC999B">
        <w:rPr>
          <w:lang w:eastAsia="en-US"/>
        </w:rPr>
        <w:t>S</w:t>
      </w:r>
      <w:r w:rsidRPr="30CC999B">
        <w:rPr>
          <w:lang w:eastAsia="en-US"/>
        </w:rPr>
        <w:t>tate Parliament.</w:t>
      </w:r>
    </w:p>
    <w:p w14:paraId="33D28F33" w14:textId="77777777" w:rsidR="00ED6CF9" w:rsidRPr="00ED6CF9" w:rsidRDefault="00ED6CF9" w:rsidP="00ED6CF9">
      <w:pPr>
        <w:spacing w:line="276" w:lineRule="auto"/>
        <w:ind w:left="709"/>
      </w:pPr>
      <w:r w:rsidRPr="30CC999B">
        <w:t xml:space="preserve">The Public Advocate has seven functions under the </w:t>
      </w:r>
      <w:r w:rsidRPr="30CC999B">
        <w:rPr>
          <w:i/>
          <w:iCs/>
        </w:rPr>
        <w:t>Guardianship and Administration Act 2019</w:t>
      </w:r>
      <w:r w:rsidR="0071745C">
        <w:rPr>
          <w:i/>
          <w:iCs/>
        </w:rPr>
        <w:t xml:space="preserve"> </w:t>
      </w:r>
      <w:r w:rsidR="2DA81854" w:rsidRPr="30CC999B">
        <w:t>(Vic)</w:t>
      </w:r>
      <w:r w:rsidR="00733F72">
        <w:rPr>
          <w:bCs/>
        </w:rPr>
        <w:t>,</w:t>
      </w:r>
      <w:r>
        <w:rPr>
          <w:rStyle w:val="FootnoteReference"/>
          <w:bCs/>
        </w:rPr>
        <w:footnoteReference w:id="2"/>
      </w:r>
      <w:r w:rsidR="00B00CC9">
        <w:rPr>
          <w:bCs/>
        </w:rPr>
        <w:t xml:space="preserve"> </w:t>
      </w:r>
      <w:r w:rsidR="00733F72">
        <w:t>all of which</w:t>
      </w:r>
      <w:r w:rsidRPr="30CC999B">
        <w:t xml:space="preserve"> relate to promoting the independence and human rights of people with disability and protecting people with disability from abuse, neglect and exploitation.</w:t>
      </w:r>
    </w:p>
    <w:p w14:paraId="2FCC72DE" w14:textId="7E8581C1" w:rsidR="009F3012" w:rsidRDefault="00ED6CF9" w:rsidP="0062276B">
      <w:pPr>
        <w:spacing w:line="276" w:lineRule="auto"/>
        <w:ind w:left="709"/>
        <w:rPr>
          <w:lang w:eastAsia="en-US"/>
        </w:rPr>
      </w:pPr>
      <w:r>
        <w:rPr>
          <w:lang w:eastAsia="en-US"/>
        </w:rPr>
        <w:t xml:space="preserve">To this end, </w:t>
      </w:r>
      <w:r w:rsidR="009F3012" w:rsidRPr="00A659A9">
        <w:rPr>
          <w:lang w:eastAsia="en-US"/>
        </w:rPr>
        <w:t xml:space="preserve">OPA provides a range of </w:t>
      </w:r>
      <w:r>
        <w:rPr>
          <w:lang w:eastAsia="en-US"/>
        </w:rPr>
        <w:t xml:space="preserve">critical </w:t>
      </w:r>
      <w:r w:rsidR="009F3012" w:rsidRPr="00A659A9">
        <w:rPr>
          <w:lang w:eastAsia="en-US"/>
        </w:rPr>
        <w:t>services for people with cognitive impairment or mental illness,</w:t>
      </w:r>
      <w:r w:rsidR="00501D0B">
        <w:rPr>
          <w:lang w:eastAsia="en-US"/>
        </w:rPr>
        <w:t xml:space="preserve"> </w:t>
      </w:r>
      <w:r w:rsidR="009F3012" w:rsidRPr="00A659A9">
        <w:rPr>
          <w:lang w:eastAsia="en-US"/>
        </w:rPr>
        <w:t>including guardianship, advocacy, and investigation services. In 2018-19, OPA was involved in 1,823 guardianship matters (978 which were new), 404 investigations</w:t>
      </w:r>
      <w:r w:rsidR="009F3012">
        <w:rPr>
          <w:lang w:eastAsia="en-US"/>
        </w:rPr>
        <w:t>,</w:t>
      </w:r>
      <w:r w:rsidR="009F3012" w:rsidRPr="00A659A9">
        <w:rPr>
          <w:lang w:eastAsia="en-US"/>
        </w:rPr>
        <w:t xml:space="preserve"> and 258 cases requiring advocacy.</w:t>
      </w:r>
      <w:r w:rsidR="009F3012" w:rsidRPr="30CC999B">
        <w:rPr>
          <w:rFonts w:eastAsia="Times" w:cs="Times New Roman"/>
          <w:vertAlign w:val="superscript"/>
          <w:lang w:val="en-US" w:eastAsia="en-US"/>
        </w:rPr>
        <w:footnoteReference w:id="3"/>
      </w:r>
      <w:r w:rsidR="00B00CC9">
        <w:rPr>
          <w:lang w:eastAsia="en-US"/>
        </w:rPr>
        <w:t xml:space="preserve"> </w:t>
      </w:r>
      <w:r w:rsidR="009F3012" w:rsidRPr="00287258">
        <w:rPr>
          <w:lang w:eastAsia="en-US"/>
        </w:rPr>
        <w:t>Forty</w:t>
      </w:r>
      <w:r w:rsidR="009F3012">
        <w:rPr>
          <w:lang w:eastAsia="en-US"/>
        </w:rPr>
        <w:t>-nine</w:t>
      </w:r>
      <w:r w:rsidR="009F3012" w:rsidRPr="00A659A9">
        <w:rPr>
          <w:lang w:eastAsia="en-US"/>
        </w:rPr>
        <w:t xml:space="preserve"> per cent of OPA’s new guardianship clients were over </w:t>
      </w:r>
      <w:r w:rsidR="006E22F6">
        <w:rPr>
          <w:lang w:eastAsia="en-US"/>
        </w:rPr>
        <w:t xml:space="preserve">the age of </w:t>
      </w:r>
      <w:r w:rsidR="009F3012" w:rsidRPr="00A659A9">
        <w:rPr>
          <w:lang w:eastAsia="en-US"/>
        </w:rPr>
        <w:t>65</w:t>
      </w:r>
      <w:r w:rsidR="00B00CC9">
        <w:rPr>
          <w:lang w:eastAsia="en-US"/>
        </w:rPr>
        <w:t xml:space="preserve"> </w:t>
      </w:r>
      <w:r w:rsidR="009F3012">
        <w:rPr>
          <w:lang w:eastAsia="en-US"/>
        </w:rPr>
        <w:t>and</w:t>
      </w:r>
      <w:r w:rsidR="00B00CC9">
        <w:rPr>
          <w:lang w:eastAsia="en-US"/>
        </w:rPr>
        <w:t xml:space="preserve"> </w:t>
      </w:r>
      <w:r w:rsidR="0006424B">
        <w:rPr>
          <w:lang w:eastAsia="en-US"/>
        </w:rPr>
        <w:t>more than half</w:t>
      </w:r>
      <w:r w:rsidR="009F3012" w:rsidRPr="00A659A9">
        <w:rPr>
          <w:lang w:eastAsia="en-US"/>
        </w:rPr>
        <w:t xml:space="preserve"> (58 per cent</w:t>
      </w:r>
      <w:r w:rsidR="009F3012">
        <w:rPr>
          <w:lang w:eastAsia="en-US"/>
        </w:rPr>
        <w:t>)</w:t>
      </w:r>
      <w:r w:rsidR="009F3012" w:rsidRPr="00A659A9">
        <w:rPr>
          <w:lang w:eastAsia="en-US"/>
        </w:rPr>
        <w:t xml:space="preserve"> of OPA </w:t>
      </w:r>
      <w:r w:rsidR="009F3012">
        <w:rPr>
          <w:lang w:eastAsia="en-US"/>
        </w:rPr>
        <w:t xml:space="preserve">eligible </w:t>
      </w:r>
      <w:r w:rsidR="009F3012" w:rsidRPr="00A659A9">
        <w:rPr>
          <w:lang w:eastAsia="en-US"/>
        </w:rPr>
        <w:t>guardianship clients were National Disability Insurance Scheme (NDIS) participants.</w:t>
      </w:r>
      <w:r w:rsidR="00287258" w:rsidRPr="30CC999B">
        <w:rPr>
          <w:rFonts w:eastAsia="Times" w:cs="Times New Roman"/>
          <w:vertAlign w:val="superscript"/>
          <w:lang w:val="en-US" w:eastAsia="en-US"/>
        </w:rPr>
        <w:footnoteReference w:id="4"/>
      </w:r>
    </w:p>
    <w:p w14:paraId="515F723C" w14:textId="77777777" w:rsidR="00753AD5" w:rsidRPr="00156FCD" w:rsidRDefault="00A662E4" w:rsidP="0062276B">
      <w:pPr>
        <w:spacing w:line="276" w:lineRule="auto"/>
        <w:ind w:left="709"/>
        <w:rPr>
          <w:lang w:eastAsia="en-US"/>
        </w:rPr>
      </w:pPr>
      <w:r w:rsidRPr="001A509E">
        <w:rPr>
          <w:lang w:eastAsia="en-US"/>
        </w:rPr>
        <w:t xml:space="preserve">OPA’s </w:t>
      </w:r>
      <w:r w:rsidR="006E22F6" w:rsidRPr="001A509E">
        <w:rPr>
          <w:lang w:eastAsia="en-US"/>
        </w:rPr>
        <w:t xml:space="preserve">two </w:t>
      </w:r>
      <w:r w:rsidRPr="001A509E">
        <w:rPr>
          <w:lang w:eastAsia="en-US"/>
        </w:rPr>
        <w:t xml:space="preserve">Disability Act </w:t>
      </w:r>
      <w:r w:rsidR="00287258" w:rsidRPr="001A509E">
        <w:rPr>
          <w:lang w:eastAsia="en-US"/>
        </w:rPr>
        <w:t>o</w:t>
      </w:r>
      <w:r w:rsidRPr="001A509E">
        <w:rPr>
          <w:lang w:eastAsia="en-US"/>
        </w:rPr>
        <w:t>fficer</w:t>
      </w:r>
      <w:r w:rsidR="006E22F6" w:rsidRPr="001A509E">
        <w:rPr>
          <w:lang w:eastAsia="en-US"/>
        </w:rPr>
        <w:t xml:space="preserve">s assist </w:t>
      </w:r>
      <w:r w:rsidR="00287258" w:rsidRPr="001A509E">
        <w:rPr>
          <w:lang w:eastAsia="en-US"/>
        </w:rPr>
        <w:t>the Office</w:t>
      </w:r>
      <w:r w:rsidR="006E22F6" w:rsidRPr="001A509E">
        <w:rPr>
          <w:lang w:eastAsia="en-US"/>
        </w:rPr>
        <w:t xml:space="preserve"> to fulfil its advocacy and safeguarding role</w:t>
      </w:r>
      <w:r w:rsidR="00287258" w:rsidRPr="001A509E">
        <w:rPr>
          <w:lang w:eastAsia="en-US"/>
        </w:rPr>
        <w:t>s</w:t>
      </w:r>
      <w:r w:rsidR="006E22F6" w:rsidRPr="001A509E">
        <w:rPr>
          <w:lang w:eastAsia="en-US"/>
        </w:rPr>
        <w:t xml:space="preserve"> in relation to tenancy rights of people living in disability residential services, including NDIS</w:t>
      </w:r>
      <w:r w:rsidR="009F46EC" w:rsidRPr="001A509E">
        <w:rPr>
          <w:lang w:eastAsia="en-US"/>
        </w:rPr>
        <w:t>-funded</w:t>
      </w:r>
      <w:r w:rsidR="006E22F6" w:rsidRPr="001A509E">
        <w:rPr>
          <w:lang w:eastAsia="en-US"/>
        </w:rPr>
        <w:t xml:space="preserve"> Specialist Disability Accommodation (SDA). The officers also provide individual advocacy in relation to safeguard protections </w:t>
      </w:r>
      <w:r w:rsidR="00287258" w:rsidRPr="001A509E">
        <w:rPr>
          <w:lang w:eastAsia="en-US"/>
        </w:rPr>
        <w:t xml:space="preserve">involving civil detention and compulsory treatment </w:t>
      </w:r>
      <w:r w:rsidR="006E22F6" w:rsidRPr="001A509E">
        <w:rPr>
          <w:lang w:eastAsia="en-US"/>
        </w:rPr>
        <w:t xml:space="preserve">contained within the </w:t>
      </w:r>
      <w:r w:rsidR="006E22F6" w:rsidRPr="001A509E">
        <w:rPr>
          <w:i/>
          <w:iCs/>
          <w:lang w:eastAsia="en-US"/>
        </w:rPr>
        <w:t xml:space="preserve">Disability Act </w:t>
      </w:r>
      <w:r w:rsidR="009F46EC" w:rsidRPr="001A509E">
        <w:rPr>
          <w:i/>
          <w:iCs/>
          <w:lang w:eastAsia="en-US"/>
        </w:rPr>
        <w:t>2006</w:t>
      </w:r>
      <w:r w:rsidR="009F46EC" w:rsidRPr="001A509E">
        <w:rPr>
          <w:lang w:eastAsia="en-US"/>
        </w:rPr>
        <w:t xml:space="preserve"> (Vic)</w:t>
      </w:r>
      <w:r w:rsidR="006E22F6" w:rsidRPr="001A509E">
        <w:rPr>
          <w:lang w:eastAsia="en-US"/>
        </w:rPr>
        <w:t xml:space="preserve">. </w:t>
      </w:r>
      <w:r w:rsidRPr="001A509E">
        <w:rPr>
          <w:lang w:eastAsia="en-US"/>
        </w:rPr>
        <w:t>The officers</w:t>
      </w:r>
      <w:r w:rsidR="006E22F6" w:rsidRPr="001A509E">
        <w:rPr>
          <w:lang w:eastAsia="en-US"/>
        </w:rPr>
        <w:t>’</w:t>
      </w:r>
      <w:r w:rsidRPr="001A509E">
        <w:rPr>
          <w:lang w:eastAsia="en-US"/>
        </w:rPr>
        <w:t xml:space="preserve"> interventions remain the largest single contributor to OPA’s individual advocacy.</w:t>
      </w:r>
      <w:r w:rsidR="00287258" w:rsidRPr="001A509E">
        <w:rPr>
          <w:rStyle w:val="FootnoteReference"/>
          <w:lang w:eastAsia="en-US"/>
        </w:rPr>
        <w:footnoteReference w:id="5"/>
      </w:r>
    </w:p>
    <w:p w14:paraId="55AE3B7E" w14:textId="1CC16706" w:rsidR="006E22F6" w:rsidRPr="005D611A" w:rsidRDefault="00ED6CF9" w:rsidP="0062276B">
      <w:pPr>
        <w:spacing w:line="276" w:lineRule="auto"/>
        <w:ind w:left="709"/>
        <w:rPr>
          <w:lang w:eastAsia="en-US"/>
        </w:rPr>
      </w:pPr>
      <w:r>
        <w:rPr>
          <w:lang w:eastAsia="en-US"/>
        </w:rPr>
        <w:t xml:space="preserve">A key function of the Public Advocate is to promote and </w:t>
      </w:r>
      <w:r w:rsidR="00EC057B">
        <w:rPr>
          <w:lang w:eastAsia="en-US"/>
        </w:rPr>
        <w:t>facilitate</w:t>
      </w:r>
      <w:r w:rsidR="00EC057B" w:rsidRPr="00A659A9">
        <w:rPr>
          <w:lang w:eastAsia="en-US"/>
        </w:rPr>
        <w:t xml:space="preserve"> public</w:t>
      </w:r>
      <w:r w:rsidR="009F3012" w:rsidRPr="00A659A9">
        <w:rPr>
          <w:lang w:eastAsia="en-US"/>
        </w:rPr>
        <w:t xml:space="preserve"> awareness and understanding about </w:t>
      </w:r>
      <w:r w:rsidR="01200574" w:rsidRPr="30CC999B">
        <w:rPr>
          <w:lang w:eastAsia="en-US"/>
        </w:rPr>
        <w:t xml:space="preserve">the </w:t>
      </w:r>
      <w:r w:rsidR="0024109C" w:rsidRPr="30CC999B">
        <w:rPr>
          <w:i/>
          <w:iCs/>
        </w:rPr>
        <w:t xml:space="preserve">Guardianship and Administration Act 2019 </w:t>
      </w:r>
      <w:r w:rsidR="0024109C" w:rsidRPr="30CC999B">
        <w:t>(Vic)</w:t>
      </w:r>
      <w:r w:rsidR="00B00CC9">
        <w:t xml:space="preserve"> </w:t>
      </w:r>
      <w:r w:rsidR="00711762">
        <w:rPr>
          <w:lang w:eastAsia="en-US"/>
        </w:rPr>
        <w:t xml:space="preserve">and </w:t>
      </w:r>
      <w:r w:rsidR="009F3012" w:rsidRPr="00A659A9">
        <w:rPr>
          <w:lang w:eastAsia="en-US"/>
        </w:rPr>
        <w:t xml:space="preserve">any other legislation affecting persons </w:t>
      </w:r>
      <w:r w:rsidR="00EC057B" w:rsidRPr="00A659A9">
        <w:rPr>
          <w:lang w:eastAsia="en-US"/>
        </w:rPr>
        <w:t>with disability</w:t>
      </w:r>
      <w:r w:rsidR="00CE268B">
        <w:rPr>
          <w:lang w:eastAsia="en-US"/>
        </w:rPr>
        <w:t xml:space="preserve"> or persons who may not have decision-making capacity</w:t>
      </w:r>
      <w:r w:rsidR="009F3012" w:rsidRPr="00A659A9">
        <w:rPr>
          <w:lang w:eastAsia="en-US"/>
        </w:rPr>
        <w:t xml:space="preserve">. </w:t>
      </w:r>
      <w:r w:rsidR="00287258">
        <w:rPr>
          <w:lang w:eastAsia="en-US"/>
        </w:rPr>
        <w:t xml:space="preserve">To do so, OPA runs a telephone advice service, which </w:t>
      </w:r>
      <w:r w:rsidR="009F3012" w:rsidRPr="0062276B">
        <w:rPr>
          <w:lang w:eastAsia="en-US"/>
        </w:rPr>
        <w:t>answered 13,644 calls</w:t>
      </w:r>
      <w:r w:rsidR="00287258">
        <w:rPr>
          <w:lang w:eastAsia="en-US"/>
        </w:rPr>
        <w:t xml:space="preserve"> in 2018-19</w:t>
      </w:r>
      <w:r w:rsidR="009F3012" w:rsidRPr="0062276B">
        <w:rPr>
          <w:lang w:eastAsia="en-US"/>
        </w:rPr>
        <w:t xml:space="preserve">. </w:t>
      </w:r>
      <w:r w:rsidR="009F3012" w:rsidRPr="00A659A9">
        <w:rPr>
          <w:lang w:eastAsia="en-US"/>
        </w:rPr>
        <w:t xml:space="preserve">OPA </w:t>
      </w:r>
      <w:r w:rsidR="00287258">
        <w:rPr>
          <w:lang w:eastAsia="en-US"/>
        </w:rPr>
        <w:t xml:space="preserve">also </w:t>
      </w:r>
      <w:r w:rsidR="009F3012" w:rsidRPr="00A659A9">
        <w:rPr>
          <w:lang w:eastAsia="en-US"/>
        </w:rPr>
        <w:t xml:space="preserve">coordinates a </w:t>
      </w:r>
      <w:r w:rsidR="00EC057B" w:rsidRPr="00A659A9">
        <w:rPr>
          <w:lang w:eastAsia="en-US"/>
        </w:rPr>
        <w:t>community education</w:t>
      </w:r>
      <w:r w:rsidR="009F3012" w:rsidRPr="00A659A9">
        <w:rPr>
          <w:lang w:eastAsia="en-US"/>
        </w:rPr>
        <w:t xml:space="preserve"> program </w:t>
      </w:r>
      <w:r w:rsidR="009F3012">
        <w:rPr>
          <w:lang w:eastAsia="en-US"/>
        </w:rPr>
        <w:t>for</w:t>
      </w:r>
      <w:r w:rsidR="009F3012" w:rsidRPr="00A659A9">
        <w:rPr>
          <w:lang w:eastAsia="en-US"/>
        </w:rPr>
        <w:t xml:space="preserve"> professional and community audiences </w:t>
      </w:r>
      <w:r w:rsidR="00EC057B" w:rsidRPr="00A659A9">
        <w:rPr>
          <w:lang w:eastAsia="en-US"/>
        </w:rPr>
        <w:t>across Victoria</w:t>
      </w:r>
      <w:r w:rsidR="009F3012">
        <w:rPr>
          <w:lang w:eastAsia="en-US"/>
        </w:rPr>
        <w:t xml:space="preserve"> to engage</w:t>
      </w:r>
      <w:r w:rsidR="009F3012" w:rsidRPr="00A659A9">
        <w:rPr>
          <w:lang w:eastAsia="en-US"/>
        </w:rPr>
        <w:t xml:space="preserve"> on a range of topics </w:t>
      </w:r>
      <w:r w:rsidR="00287258">
        <w:rPr>
          <w:lang w:eastAsia="en-US"/>
        </w:rPr>
        <w:t>such as</w:t>
      </w:r>
      <w:r w:rsidR="009F3012" w:rsidRPr="00A659A9">
        <w:rPr>
          <w:lang w:eastAsia="en-US"/>
        </w:rPr>
        <w:t xml:space="preserve"> the role of OPA, guardianship and administration,</w:t>
      </w:r>
      <w:r w:rsidR="00501D0B">
        <w:rPr>
          <w:lang w:eastAsia="en-US"/>
        </w:rPr>
        <w:t xml:space="preserve"> </w:t>
      </w:r>
      <w:r w:rsidR="006E22F6">
        <w:rPr>
          <w:lang w:eastAsia="en-US"/>
        </w:rPr>
        <w:t xml:space="preserve">and </w:t>
      </w:r>
      <w:r w:rsidR="009F3012" w:rsidRPr="00A659A9">
        <w:rPr>
          <w:lang w:eastAsia="en-US"/>
        </w:rPr>
        <w:t>enduring powers of attorney.</w:t>
      </w:r>
    </w:p>
    <w:p w14:paraId="172A81D3" w14:textId="07C2E8D1" w:rsidR="00E9051D" w:rsidRDefault="009F3012" w:rsidP="008656C3">
      <w:pPr>
        <w:spacing w:line="276" w:lineRule="auto"/>
        <w:ind w:left="709"/>
        <w:rPr>
          <w:lang w:eastAsia="en-US"/>
        </w:rPr>
      </w:pPr>
      <w:r w:rsidRPr="00A659A9">
        <w:rPr>
          <w:lang w:eastAsia="en-US"/>
        </w:rPr>
        <w:t xml:space="preserve">OPA is supported by more than </w:t>
      </w:r>
      <w:r>
        <w:rPr>
          <w:lang w:eastAsia="en-US"/>
        </w:rPr>
        <w:t>7</w:t>
      </w:r>
      <w:r w:rsidRPr="00A659A9">
        <w:rPr>
          <w:lang w:eastAsia="en-US"/>
        </w:rPr>
        <w:t xml:space="preserve">00 volunteers across four volunteer programs: </w:t>
      </w:r>
      <w:r w:rsidR="00EC057B" w:rsidRPr="00A659A9">
        <w:rPr>
          <w:lang w:eastAsia="en-US"/>
        </w:rPr>
        <w:t>The Community</w:t>
      </w:r>
      <w:r w:rsidRPr="00A659A9">
        <w:rPr>
          <w:lang w:eastAsia="en-US"/>
        </w:rPr>
        <w:t xml:space="preserve"> Visitors Program, the Community Guardian Program, the Independent </w:t>
      </w:r>
      <w:r w:rsidR="00EC057B" w:rsidRPr="00A659A9">
        <w:rPr>
          <w:lang w:eastAsia="en-US"/>
        </w:rPr>
        <w:t>Third Person</w:t>
      </w:r>
      <w:r w:rsidRPr="00A659A9">
        <w:rPr>
          <w:lang w:eastAsia="en-US"/>
        </w:rPr>
        <w:t xml:space="preserve"> Program (ITP Program) and the Corrections Independent Support Officer (CISO)</w:t>
      </w:r>
      <w:r w:rsidR="0071745C">
        <w:rPr>
          <w:lang w:eastAsia="en-US"/>
        </w:rPr>
        <w:t xml:space="preserve"> </w:t>
      </w:r>
      <w:r w:rsidRPr="00A659A9">
        <w:rPr>
          <w:lang w:eastAsia="en-US"/>
        </w:rPr>
        <w:t>Program.</w:t>
      </w:r>
      <w:r w:rsidR="006720F6">
        <w:rPr>
          <w:lang w:eastAsia="en-US"/>
        </w:rPr>
        <w:t xml:space="preserve"> </w:t>
      </w:r>
      <w:r w:rsidRPr="00A659A9">
        <w:rPr>
          <w:lang w:eastAsia="en-US"/>
        </w:rPr>
        <w:t>Community Visitors are</w:t>
      </w:r>
      <w:r w:rsidR="00F023BD">
        <w:rPr>
          <w:lang w:eastAsia="en-US"/>
        </w:rPr>
        <w:t xml:space="preserve"> independent volunteers</w:t>
      </w:r>
      <w:r w:rsidRPr="00A659A9">
        <w:rPr>
          <w:lang w:eastAsia="en-US"/>
        </w:rPr>
        <w:t xml:space="preserve"> empowered by law to visit</w:t>
      </w:r>
      <w:r w:rsidR="0071745C">
        <w:rPr>
          <w:lang w:eastAsia="en-US"/>
        </w:rPr>
        <w:t xml:space="preserve"> </w:t>
      </w:r>
      <w:r w:rsidRPr="00A659A9">
        <w:rPr>
          <w:lang w:eastAsia="en-US"/>
        </w:rPr>
        <w:t>Victorian accommodation facilities</w:t>
      </w:r>
      <w:r w:rsidR="0071745C">
        <w:rPr>
          <w:lang w:eastAsia="en-US"/>
        </w:rPr>
        <w:t xml:space="preserve"> </w:t>
      </w:r>
      <w:r w:rsidRPr="00A659A9">
        <w:rPr>
          <w:lang w:eastAsia="en-US"/>
        </w:rPr>
        <w:t>for</w:t>
      </w:r>
      <w:r w:rsidR="0071745C">
        <w:rPr>
          <w:lang w:eastAsia="en-US"/>
        </w:rPr>
        <w:t xml:space="preserve"> </w:t>
      </w:r>
      <w:r w:rsidRPr="00A659A9">
        <w:rPr>
          <w:lang w:eastAsia="en-US"/>
        </w:rPr>
        <w:t>people with disability or mental illness. They monitor and report</w:t>
      </w:r>
      <w:r w:rsidR="0071745C">
        <w:rPr>
          <w:lang w:eastAsia="en-US"/>
        </w:rPr>
        <w:t xml:space="preserve"> </w:t>
      </w:r>
      <w:r w:rsidRPr="00A659A9">
        <w:rPr>
          <w:lang w:eastAsia="en-US"/>
        </w:rPr>
        <w:t>on the adequacy of services provided in the interests of residents and patients. They</w:t>
      </w:r>
      <w:r w:rsidR="0071745C">
        <w:rPr>
          <w:lang w:eastAsia="en-US"/>
        </w:rPr>
        <w:t xml:space="preserve"> </w:t>
      </w:r>
      <w:r w:rsidRPr="00A659A9">
        <w:rPr>
          <w:lang w:eastAsia="en-US"/>
        </w:rPr>
        <w:t xml:space="preserve">ensure that the human rights of residents or patients are being upheld and that </w:t>
      </w:r>
      <w:r w:rsidR="0071745C">
        <w:rPr>
          <w:lang w:eastAsia="en-US"/>
        </w:rPr>
        <w:t xml:space="preserve">they </w:t>
      </w:r>
      <w:r w:rsidRPr="00A659A9">
        <w:rPr>
          <w:lang w:eastAsia="en-US"/>
        </w:rPr>
        <w:t>are not subject to abuse, neglect or exploitation.</w:t>
      </w:r>
      <w:r w:rsidRPr="00B768A9">
        <w:rPr>
          <w:lang w:eastAsia="en-US"/>
        </w:rPr>
        <w:t xml:space="preserve"> In their annual report, Community Visitors </w:t>
      </w:r>
      <w:r w:rsidR="00287258">
        <w:rPr>
          <w:lang w:eastAsia="en-US"/>
        </w:rPr>
        <w:t>relate</w:t>
      </w:r>
      <w:r w:rsidR="0071745C">
        <w:rPr>
          <w:lang w:eastAsia="en-US"/>
        </w:rPr>
        <w:t xml:space="preserve"> </w:t>
      </w:r>
      <w:r w:rsidR="006E22F6">
        <w:rPr>
          <w:lang w:eastAsia="en-US"/>
        </w:rPr>
        <w:t xml:space="preserve">their observations </w:t>
      </w:r>
      <w:r w:rsidR="00287258" w:rsidRPr="00B768A9">
        <w:rPr>
          <w:lang w:eastAsia="en-US"/>
        </w:rPr>
        <w:t>on the quality and safety of the services they visit</w:t>
      </w:r>
      <w:r w:rsidR="0071745C">
        <w:rPr>
          <w:lang w:eastAsia="en-US"/>
        </w:rPr>
        <w:t xml:space="preserve"> </w:t>
      </w:r>
      <w:r w:rsidR="006E22F6">
        <w:rPr>
          <w:lang w:eastAsia="en-US"/>
        </w:rPr>
        <w:t xml:space="preserve">and make recommendations </w:t>
      </w:r>
      <w:r w:rsidRPr="00B768A9">
        <w:rPr>
          <w:lang w:eastAsia="en-US"/>
        </w:rPr>
        <w:t xml:space="preserve">to </w:t>
      </w:r>
      <w:r>
        <w:rPr>
          <w:lang w:eastAsia="en-US"/>
        </w:rPr>
        <w:t xml:space="preserve">the Victorian </w:t>
      </w:r>
      <w:r w:rsidR="00287258">
        <w:rPr>
          <w:lang w:eastAsia="en-US"/>
        </w:rPr>
        <w:t>State Government</w:t>
      </w:r>
      <w:r w:rsidRPr="00B768A9">
        <w:rPr>
          <w:lang w:eastAsia="en-US"/>
        </w:rPr>
        <w:t>.</w:t>
      </w:r>
      <w:r w:rsidR="0071745C">
        <w:rPr>
          <w:lang w:eastAsia="en-US"/>
        </w:rPr>
        <w:t xml:space="preserve"> M</w:t>
      </w:r>
      <w:r w:rsidR="00501D0B">
        <w:rPr>
          <w:lang w:eastAsia="en-US"/>
        </w:rPr>
        <w:t>o</w:t>
      </w:r>
      <w:r w:rsidRPr="00A659A9">
        <w:rPr>
          <w:lang w:eastAsia="en-US"/>
        </w:rPr>
        <w:t>re than 400 Community Visitors visit across three streams: disability</w:t>
      </w:r>
      <w:r w:rsidR="0071745C">
        <w:rPr>
          <w:lang w:eastAsia="en-US"/>
        </w:rPr>
        <w:t xml:space="preserve"> </w:t>
      </w:r>
      <w:r w:rsidRPr="00A659A9">
        <w:rPr>
          <w:lang w:eastAsia="en-US"/>
        </w:rPr>
        <w:t>services, supported residential services</w:t>
      </w:r>
      <w:r w:rsidR="00287258">
        <w:rPr>
          <w:lang w:eastAsia="en-US"/>
        </w:rPr>
        <w:t xml:space="preserve"> (SRS)</w:t>
      </w:r>
      <w:r>
        <w:rPr>
          <w:lang w:eastAsia="en-US"/>
        </w:rPr>
        <w:t>,</w:t>
      </w:r>
      <w:r w:rsidRPr="00A659A9">
        <w:rPr>
          <w:lang w:eastAsia="en-US"/>
        </w:rPr>
        <w:t xml:space="preserve"> and mental health</w:t>
      </w:r>
      <w:r w:rsidRPr="00A659A9">
        <w:t xml:space="preserve"> services. </w:t>
      </w:r>
      <w:r>
        <w:t>In 2018-19, Community Visitors made 5527 statutory visits</w:t>
      </w:r>
      <w:r w:rsidR="00156FCD">
        <w:t xml:space="preserve">, </w:t>
      </w:r>
      <w:r w:rsidR="00156FCD">
        <w:lastRenderedPageBreak/>
        <w:t xml:space="preserve">including </w:t>
      </w:r>
      <w:r w:rsidR="00287258">
        <w:t xml:space="preserve">to </w:t>
      </w:r>
      <w:r w:rsidR="00CF5771">
        <w:t xml:space="preserve">sites of criminal and civil </w:t>
      </w:r>
      <w:r w:rsidR="00994B4F">
        <w:t>detention</w:t>
      </w:r>
      <w:r>
        <w:t>.</w:t>
      </w:r>
      <w:r>
        <w:rPr>
          <w:rStyle w:val="FootnoteReference"/>
        </w:rPr>
        <w:footnoteReference w:id="6"/>
      </w:r>
      <w:r w:rsidR="007D6011">
        <w:t xml:space="preserve"> </w:t>
      </w:r>
      <w:r w:rsidR="00E8568F">
        <w:t>The pandemic has suspended in-person visits</w:t>
      </w:r>
      <w:r w:rsidR="009A24AC">
        <w:t xml:space="preserve"> and safeguarding services </w:t>
      </w:r>
      <w:r w:rsidR="000140CD">
        <w:t xml:space="preserve">under these programs </w:t>
      </w:r>
      <w:r w:rsidR="009A24AC">
        <w:t>since the end of February.</w:t>
      </w:r>
      <w:r w:rsidR="000140CD">
        <w:t xml:space="preserve"> Some</w:t>
      </w:r>
      <w:r w:rsidR="005346CD">
        <w:t xml:space="preserve"> of these</w:t>
      </w:r>
      <w:r w:rsidR="000140CD">
        <w:t xml:space="preserve"> programs </w:t>
      </w:r>
      <w:r w:rsidR="00017D45">
        <w:t xml:space="preserve">have </w:t>
      </w:r>
      <w:r w:rsidR="005346CD">
        <w:t>been able to c</w:t>
      </w:r>
      <w:r w:rsidR="00017D45">
        <w:t xml:space="preserve">ontinue </w:t>
      </w:r>
      <w:r w:rsidR="00771D89">
        <w:t>provid</w:t>
      </w:r>
      <w:r w:rsidR="005346CD">
        <w:t xml:space="preserve">ing </w:t>
      </w:r>
      <w:r w:rsidR="00017D45">
        <w:t xml:space="preserve">these safeguards </w:t>
      </w:r>
      <w:r w:rsidR="005346CD">
        <w:t>in new ways</w:t>
      </w:r>
      <w:r w:rsidR="00771D89">
        <w:t xml:space="preserve">, </w:t>
      </w:r>
      <w:r w:rsidR="00017D45">
        <w:t>which will be detailed below.</w:t>
      </w:r>
    </w:p>
    <w:p w14:paraId="54C32B28" w14:textId="77777777" w:rsidR="009F3012" w:rsidRDefault="009F3012" w:rsidP="009F3012">
      <w:pPr>
        <w:pStyle w:val="Heading2OPA"/>
        <w:numPr>
          <w:ilvl w:val="1"/>
          <w:numId w:val="16"/>
        </w:numPr>
        <w:ind w:left="709" w:hanging="709"/>
      </w:pPr>
      <w:bookmarkStart w:id="8" w:name="_Toc46949125"/>
      <w:r>
        <w:t xml:space="preserve">OPA’s engagement with </w:t>
      </w:r>
      <w:r w:rsidR="00501D0B">
        <w:t>the</w:t>
      </w:r>
      <w:r>
        <w:t xml:space="preserve"> Royal Commission</w:t>
      </w:r>
      <w:bookmarkEnd w:id="8"/>
    </w:p>
    <w:p w14:paraId="5E5B7D83" w14:textId="77777777" w:rsidR="009F3012" w:rsidRDefault="009F3012" w:rsidP="009F3012">
      <w:pPr>
        <w:spacing w:line="276" w:lineRule="auto"/>
        <w:ind w:left="709"/>
        <w:rPr>
          <w:lang w:eastAsia="en-US"/>
        </w:rPr>
      </w:pPr>
      <w:r w:rsidRPr="30CC999B">
        <w:rPr>
          <w:lang w:eastAsia="en-US"/>
        </w:rPr>
        <w:t xml:space="preserve">OPA welcomes the </w:t>
      </w:r>
      <w:r w:rsidR="002400FB" w:rsidRPr="30CC999B">
        <w:rPr>
          <w:lang w:eastAsia="en-US"/>
        </w:rPr>
        <w:t>continued</w:t>
      </w:r>
      <w:r w:rsidRPr="30CC999B">
        <w:rPr>
          <w:lang w:eastAsia="en-US"/>
        </w:rPr>
        <w:t xml:space="preserve"> opportunit</w:t>
      </w:r>
      <w:r w:rsidR="002400FB" w:rsidRPr="30CC999B">
        <w:rPr>
          <w:lang w:eastAsia="en-US"/>
        </w:rPr>
        <w:t>y</w:t>
      </w:r>
      <w:r w:rsidRPr="30CC999B">
        <w:rPr>
          <w:lang w:eastAsia="en-US"/>
        </w:rPr>
        <w:t xml:space="preserve"> to contribute to the Royal Commission into </w:t>
      </w:r>
      <w:r w:rsidR="005D611A" w:rsidRPr="30CC999B">
        <w:rPr>
          <w:lang w:eastAsia="en-US"/>
        </w:rPr>
        <w:t>Violence</w:t>
      </w:r>
      <w:r w:rsidRPr="30CC999B">
        <w:rPr>
          <w:lang w:eastAsia="en-US"/>
        </w:rPr>
        <w:t xml:space="preserve">, </w:t>
      </w:r>
      <w:r w:rsidR="005D611A" w:rsidRPr="30CC999B">
        <w:rPr>
          <w:lang w:eastAsia="en-US"/>
        </w:rPr>
        <w:t>Abuse</w:t>
      </w:r>
      <w:r w:rsidRPr="30CC999B">
        <w:rPr>
          <w:lang w:eastAsia="en-US"/>
        </w:rPr>
        <w:t xml:space="preserve">, </w:t>
      </w:r>
      <w:r w:rsidR="005D611A" w:rsidRPr="30CC999B">
        <w:rPr>
          <w:lang w:eastAsia="en-US"/>
        </w:rPr>
        <w:t>Neglect</w:t>
      </w:r>
      <w:r w:rsidRPr="30CC999B">
        <w:rPr>
          <w:lang w:eastAsia="en-US"/>
        </w:rPr>
        <w:t xml:space="preserve">, and </w:t>
      </w:r>
      <w:r w:rsidR="005D611A" w:rsidRPr="30CC999B">
        <w:rPr>
          <w:lang w:eastAsia="en-US"/>
        </w:rPr>
        <w:t xml:space="preserve">Exploitation </w:t>
      </w:r>
      <w:r w:rsidRPr="30CC999B">
        <w:rPr>
          <w:lang w:eastAsia="en-US"/>
        </w:rPr>
        <w:t xml:space="preserve">of </w:t>
      </w:r>
      <w:r w:rsidR="005D611A" w:rsidRPr="30CC999B">
        <w:rPr>
          <w:lang w:eastAsia="en-US"/>
        </w:rPr>
        <w:t xml:space="preserve">People </w:t>
      </w:r>
      <w:r w:rsidRPr="30CC999B">
        <w:rPr>
          <w:lang w:eastAsia="en-US"/>
        </w:rPr>
        <w:t xml:space="preserve">with </w:t>
      </w:r>
      <w:r w:rsidR="005D611A" w:rsidRPr="30CC999B">
        <w:rPr>
          <w:lang w:eastAsia="en-US"/>
        </w:rPr>
        <w:t xml:space="preserve">Disability </w:t>
      </w:r>
      <w:r w:rsidRPr="30CC999B">
        <w:rPr>
          <w:lang w:eastAsia="en-US"/>
        </w:rPr>
        <w:t>(Royal Commission).</w:t>
      </w:r>
    </w:p>
    <w:p w14:paraId="73FFA820" w14:textId="1399AABA" w:rsidR="002607DC" w:rsidRDefault="009F3012" w:rsidP="00A8280B">
      <w:pPr>
        <w:spacing w:line="276" w:lineRule="auto"/>
        <w:ind w:left="709"/>
      </w:pPr>
      <w:r>
        <w:rPr>
          <w:lang w:eastAsia="en-US"/>
        </w:rPr>
        <w:t>The Public Advocate</w:t>
      </w:r>
      <w:r w:rsidR="0037529C">
        <w:rPr>
          <w:lang w:eastAsia="en-US"/>
        </w:rPr>
        <w:t xml:space="preserve"> and</w:t>
      </w:r>
      <w:r>
        <w:rPr>
          <w:lang w:eastAsia="en-US"/>
        </w:rPr>
        <w:t xml:space="preserve"> two Community Visitors appeared as witnesses </w:t>
      </w:r>
      <w:r w:rsidR="0037529C">
        <w:rPr>
          <w:lang w:eastAsia="en-US"/>
        </w:rPr>
        <w:t>before</w:t>
      </w:r>
      <w:r>
        <w:rPr>
          <w:lang w:eastAsia="en-US"/>
        </w:rPr>
        <w:t xml:space="preserve"> the Royal Commission</w:t>
      </w:r>
      <w:r w:rsidR="0037529C">
        <w:rPr>
          <w:lang w:eastAsia="en-US"/>
        </w:rPr>
        <w:t xml:space="preserve"> at </w:t>
      </w:r>
      <w:r w:rsidR="00CF5771">
        <w:rPr>
          <w:lang w:eastAsia="en-US"/>
        </w:rPr>
        <w:t>its</w:t>
      </w:r>
      <w:r>
        <w:rPr>
          <w:lang w:eastAsia="en-US"/>
        </w:rPr>
        <w:t xml:space="preserve"> December 2019 hearings in Melbourne to speak about violence in group homes. In November 2019, OPA released a report</w:t>
      </w:r>
      <w:r w:rsidR="0071745C">
        <w:rPr>
          <w:lang w:eastAsia="en-US"/>
        </w:rPr>
        <w:t>,</w:t>
      </w:r>
      <w:r>
        <w:rPr>
          <w:lang w:eastAsia="en-US"/>
        </w:rPr>
        <w:t xml:space="preserve"> </w:t>
      </w:r>
      <w:r>
        <w:rPr>
          <w:i/>
          <w:lang w:eastAsia="en-US"/>
        </w:rPr>
        <w:t>I’m too scared to come out of my room</w:t>
      </w:r>
      <w:r w:rsidR="0071745C">
        <w:rPr>
          <w:i/>
          <w:lang w:eastAsia="en-US"/>
        </w:rPr>
        <w:t>,</w:t>
      </w:r>
      <w:r>
        <w:rPr>
          <w:iCs/>
          <w:lang w:eastAsia="en-US"/>
        </w:rPr>
        <w:t xml:space="preserve"> that was submitted to the</w:t>
      </w:r>
      <w:r>
        <w:rPr>
          <w:lang w:eastAsia="en-US"/>
        </w:rPr>
        <w:t xml:space="preserve"> Royal Commission in response to </w:t>
      </w:r>
      <w:r w:rsidR="009D4CD2">
        <w:rPr>
          <w:lang w:eastAsia="en-US"/>
        </w:rPr>
        <w:t xml:space="preserve">the </w:t>
      </w:r>
      <w:r>
        <w:rPr>
          <w:i/>
          <w:iCs/>
          <w:lang w:eastAsia="en-US"/>
        </w:rPr>
        <w:t>Group Homes</w:t>
      </w:r>
      <w:r>
        <w:rPr>
          <w:lang w:eastAsia="en-US"/>
        </w:rPr>
        <w:t xml:space="preserve"> Issues Paper. </w:t>
      </w:r>
      <w:r w:rsidR="00A10B72">
        <w:rPr>
          <w:lang w:eastAsia="en-US"/>
        </w:rPr>
        <w:t xml:space="preserve">In March 2020, </w:t>
      </w:r>
      <w:r>
        <w:rPr>
          <w:lang w:eastAsia="en-US"/>
        </w:rPr>
        <w:t xml:space="preserve">OPA </w:t>
      </w:r>
      <w:r w:rsidR="001A0F5A">
        <w:rPr>
          <w:lang w:eastAsia="en-US"/>
        </w:rPr>
        <w:t>contributed</w:t>
      </w:r>
      <w:r>
        <w:rPr>
          <w:lang w:eastAsia="en-US"/>
        </w:rPr>
        <w:t xml:space="preserve"> a written submission </w:t>
      </w:r>
      <w:r>
        <w:t xml:space="preserve">to the Issues Paper on </w:t>
      </w:r>
      <w:r>
        <w:rPr>
          <w:i/>
          <w:iCs/>
        </w:rPr>
        <w:t>Health care for people with cognitive disability</w:t>
      </w:r>
      <w:r>
        <w:t>.</w:t>
      </w:r>
      <w:r w:rsidR="00E364D1">
        <w:t xml:space="preserve"> In May 2020. </w:t>
      </w:r>
      <w:r w:rsidR="00E13F53">
        <w:t xml:space="preserve">OPA made a written submission </w:t>
      </w:r>
      <w:r w:rsidR="00A8280B">
        <w:t>in response to the</w:t>
      </w:r>
      <w:r>
        <w:t xml:space="preserve"> Issues Paper on </w:t>
      </w:r>
      <w:r w:rsidR="004D5C0B">
        <w:rPr>
          <w:i/>
          <w:iCs/>
        </w:rPr>
        <w:t xml:space="preserve">The </w:t>
      </w:r>
      <w:r>
        <w:rPr>
          <w:i/>
          <w:iCs/>
        </w:rPr>
        <w:t xml:space="preserve">Criminal Justice </w:t>
      </w:r>
      <w:r w:rsidR="004D5C0B">
        <w:rPr>
          <w:i/>
          <w:iCs/>
        </w:rPr>
        <w:t>System</w:t>
      </w:r>
      <w:r w:rsidR="002607DC">
        <w:rPr>
          <w:i/>
          <w:iCs/>
        </w:rPr>
        <w:t>.</w:t>
      </w:r>
      <w:r w:rsidR="004D5C0B">
        <w:rPr>
          <w:i/>
          <w:iCs/>
        </w:rPr>
        <w:t xml:space="preserve"> </w:t>
      </w:r>
      <w:r w:rsidR="000A5468">
        <w:t xml:space="preserve">OPA </w:t>
      </w:r>
      <w:r w:rsidR="001A049D">
        <w:t xml:space="preserve">is </w:t>
      </w:r>
      <w:r w:rsidR="00E6654D">
        <w:t xml:space="preserve">also </w:t>
      </w:r>
      <w:r w:rsidR="001A049D">
        <w:t xml:space="preserve">preparing to respond to </w:t>
      </w:r>
      <w:r w:rsidR="00802E73">
        <w:t xml:space="preserve">further requests </w:t>
      </w:r>
      <w:r w:rsidR="00E6654D">
        <w:t xml:space="preserve">for information </w:t>
      </w:r>
      <w:r w:rsidR="00802E73">
        <w:t>from the Royal Commission, inc</w:t>
      </w:r>
      <w:r w:rsidR="00E6654D">
        <w:t>l</w:t>
      </w:r>
      <w:r w:rsidR="00802E73">
        <w:t>uding the Restrictive Practices and Rights and Attitudes papers.</w:t>
      </w:r>
    </w:p>
    <w:p w14:paraId="09375B32" w14:textId="52E82F68" w:rsidR="00E20803" w:rsidRPr="000A5468" w:rsidRDefault="00E20803" w:rsidP="00A8280B">
      <w:pPr>
        <w:spacing w:line="276" w:lineRule="auto"/>
        <w:ind w:left="709"/>
      </w:pPr>
      <w:r>
        <w:t xml:space="preserve">OPA notes that the Royal Commission may also like to </w:t>
      </w:r>
      <w:r w:rsidR="00721471">
        <w:t xml:space="preserve">review our </w:t>
      </w:r>
      <w:r w:rsidR="0096677C">
        <w:t xml:space="preserve">recent </w:t>
      </w:r>
      <w:r w:rsidR="00721471">
        <w:t>submission to the Aged Care Royal Commission</w:t>
      </w:r>
      <w:r w:rsidR="005D056F">
        <w:t xml:space="preserve"> on the impact of COVID-19 o</w:t>
      </w:r>
      <w:r w:rsidR="008F23FC">
        <w:t>n</w:t>
      </w:r>
      <w:r w:rsidR="005D056F">
        <w:t xml:space="preserve"> aged care services</w:t>
      </w:r>
      <w:r w:rsidR="008F23FC">
        <w:t>.</w:t>
      </w:r>
      <w:r w:rsidR="005301A4">
        <w:t xml:space="preserve"> The submission is available to download from</w:t>
      </w:r>
      <w:r w:rsidR="00D72A4B">
        <w:t xml:space="preserve"> the OPA website.</w:t>
      </w:r>
      <w:r w:rsidR="00D72A4B">
        <w:rPr>
          <w:rStyle w:val="FootnoteReference"/>
        </w:rPr>
        <w:footnoteReference w:id="7"/>
      </w:r>
    </w:p>
    <w:p w14:paraId="30355480" w14:textId="201BF995" w:rsidR="009F3012" w:rsidRDefault="002607DC" w:rsidP="00A8280B">
      <w:pPr>
        <w:spacing w:line="276" w:lineRule="auto"/>
        <w:ind w:left="709"/>
      </w:pPr>
      <w:r>
        <w:t xml:space="preserve">Here </w:t>
      </w:r>
      <w:r w:rsidR="004C204C">
        <w:t xml:space="preserve">OPA responds to the Royal Commission’s Issues Paper </w:t>
      </w:r>
      <w:r w:rsidR="00FA6312">
        <w:rPr>
          <w:i/>
          <w:iCs/>
        </w:rPr>
        <w:t xml:space="preserve">Emergency Planning and Response </w:t>
      </w:r>
      <w:r w:rsidR="009F3012">
        <w:t xml:space="preserve">based on </w:t>
      </w:r>
      <w:r w:rsidR="00AA1059">
        <w:t xml:space="preserve">research into </w:t>
      </w:r>
      <w:r w:rsidR="007B1227">
        <w:t xml:space="preserve">the particular issues that arise for people with disability in public emergencies </w:t>
      </w:r>
      <w:r w:rsidR="00B54BB2">
        <w:t xml:space="preserve">and, of course, the </w:t>
      </w:r>
      <w:r w:rsidR="009F3012">
        <w:t>experience</w:t>
      </w:r>
      <w:r w:rsidR="00B54BB2">
        <w:t>s</w:t>
      </w:r>
      <w:r w:rsidR="009F3012">
        <w:t xml:space="preserve"> </w:t>
      </w:r>
      <w:r w:rsidR="00A51865">
        <w:t xml:space="preserve">from across OPA’s </w:t>
      </w:r>
      <w:r w:rsidR="00005432">
        <w:t xml:space="preserve">frontline program areas </w:t>
      </w:r>
      <w:r w:rsidR="00A51865">
        <w:t xml:space="preserve">during </w:t>
      </w:r>
      <w:r w:rsidR="00005432">
        <w:t xml:space="preserve">the </w:t>
      </w:r>
      <w:r w:rsidR="00A51865">
        <w:t>recent</w:t>
      </w:r>
      <w:r w:rsidR="00005432">
        <w:t xml:space="preserve"> </w:t>
      </w:r>
      <w:r w:rsidR="00186899">
        <w:t xml:space="preserve">public </w:t>
      </w:r>
      <w:r w:rsidR="00A51865">
        <w:t>emergencies</w:t>
      </w:r>
      <w:r w:rsidR="00186899">
        <w:t>:</w:t>
      </w:r>
      <w:r w:rsidR="00A51865">
        <w:t xml:space="preserve"> </w:t>
      </w:r>
      <w:r w:rsidR="00904ABF">
        <w:t>Black Summer and C</w:t>
      </w:r>
      <w:r w:rsidR="00186899">
        <w:t>OVID</w:t>
      </w:r>
      <w:r w:rsidR="00904ABF">
        <w:t>-19</w:t>
      </w:r>
      <w:r w:rsidR="00E0244C">
        <w:t>.</w:t>
      </w:r>
    </w:p>
    <w:p w14:paraId="08F77929" w14:textId="77777777" w:rsidR="00823A2F" w:rsidRDefault="00AE435E" w:rsidP="00823A2F">
      <w:pPr>
        <w:pStyle w:val="Heading2OPA"/>
        <w:numPr>
          <w:ilvl w:val="1"/>
          <w:numId w:val="16"/>
        </w:numPr>
        <w:ind w:left="709" w:hanging="709"/>
      </w:pPr>
      <w:bookmarkStart w:id="9" w:name="_Toc46949126"/>
      <w:r>
        <w:t>About</w:t>
      </w:r>
      <w:r w:rsidR="00823A2F">
        <w:t xml:space="preserve"> this submission</w:t>
      </w:r>
      <w:bookmarkEnd w:id="9"/>
    </w:p>
    <w:p w14:paraId="18EFD863" w14:textId="5A54AC07" w:rsidR="009D4CD2" w:rsidRDefault="00584AFA" w:rsidP="009D4CD2">
      <w:pPr>
        <w:pStyle w:val="NormalOPA"/>
        <w:spacing w:before="240"/>
      </w:pPr>
      <w:r>
        <w:t xml:space="preserve">OPA understands that the </w:t>
      </w:r>
      <w:r w:rsidR="16D1DF03">
        <w:t xml:space="preserve">Royal </w:t>
      </w:r>
      <w:r>
        <w:t xml:space="preserve">Commission </w:t>
      </w:r>
      <w:r w:rsidR="4EB9B4D8">
        <w:t xml:space="preserve">is seeking </w:t>
      </w:r>
      <w:r>
        <w:t xml:space="preserve">to </w:t>
      </w:r>
      <w:r w:rsidR="0005608B">
        <w:t xml:space="preserve">learn from </w:t>
      </w:r>
      <w:r w:rsidR="00F300A2">
        <w:t xml:space="preserve">current and recent public emergencies – the bushfires and the pandemic – to better protect </w:t>
      </w:r>
      <w:r w:rsidR="008A5326">
        <w:t>people with disability from suffering abuse, neglect or exploitation during future public emergencies</w:t>
      </w:r>
      <w:r w:rsidR="008247B7">
        <w:t xml:space="preserve"> by improving emergency planning and responses</w:t>
      </w:r>
      <w:r w:rsidR="008A5326">
        <w:t>.</w:t>
      </w:r>
    </w:p>
    <w:p w14:paraId="7D5881C6" w14:textId="1529E80A" w:rsidR="007362DF" w:rsidRDefault="007362DF" w:rsidP="009D4CD2">
      <w:pPr>
        <w:pStyle w:val="NormalOPA"/>
        <w:spacing w:before="240"/>
      </w:pPr>
      <w:r>
        <w:t xml:space="preserve">OPA </w:t>
      </w:r>
      <w:r w:rsidR="002D5ED4">
        <w:t>shares the experiences it has gained during these emergencies</w:t>
      </w:r>
      <w:r w:rsidR="00394026">
        <w:t xml:space="preserve"> with the Royal Commission:</w:t>
      </w:r>
      <w:r w:rsidR="00940B33">
        <w:t xml:space="preserve"> stories of individual</w:t>
      </w:r>
      <w:r w:rsidR="00E20B67">
        <w:t xml:space="preserve"> situations that arose for people with disability</w:t>
      </w:r>
      <w:r w:rsidR="000A5974">
        <w:t>, and lessons OPA staff and programs</w:t>
      </w:r>
      <w:r w:rsidR="00D62063">
        <w:t xml:space="preserve"> gained from undertaking our various safeguarding roles in this changed world.</w:t>
      </w:r>
      <w:r w:rsidR="000A5974">
        <w:t xml:space="preserve"> </w:t>
      </w:r>
    </w:p>
    <w:p w14:paraId="15A133D6" w14:textId="77777777" w:rsidR="0042325C" w:rsidRDefault="0042325C" w:rsidP="0042325C">
      <w:pPr>
        <w:pStyle w:val="NormalOPA"/>
        <w:rPr>
          <w:lang w:eastAsia="en-AU"/>
        </w:rPr>
      </w:pPr>
      <w:r>
        <w:rPr>
          <w:lang w:eastAsia="en-AU"/>
        </w:rPr>
        <w:t xml:space="preserve">This submission defines emergencies as events significant enough to warrant the declaration of a state of emergency which may include natural disasters, civil unrest, pandemics, epidemics or other bio-security risks. </w:t>
      </w:r>
    </w:p>
    <w:p w14:paraId="644E4925" w14:textId="77777777" w:rsidR="0042325C" w:rsidRDefault="0042325C" w:rsidP="0042325C">
      <w:pPr>
        <w:pStyle w:val="NormalOPA"/>
        <w:rPr>
          <w:lang w:eastAsia="en-AU"/>
        </w:rPr>
      </w:pPr>
      <w:r>
        <w:rPr>
          <w:lang w:eastAsia="en-AU"/>
        </w:rPr>
        <w:t>The information included in this submission is drawn largely from the experiences of OPA’s front line programs and supplemented on occasion with existing literature on disaster planning and response.</w:t>
      </w:r>
    </w:p>
    <w:p w14:paraId="2A58F752" w14:textId="59BE16C3" w:rsidR="0042325C" w:rsidRDefault="0042325C" w:rsidP="00877F5E">
      <w:pPr>
        <w:pStyle w:val="NormalOPA"/>
      </w:pPr>
      <w:r>
        <w:rPr>
          <w:lang w:eastAsia="en-AU"/>
        </w:rPr>
        <w:lastRenderedPageBreak/>
        <w:t>OPA supports the Commission’s published statement of concern a</w:t>
      </w:r>
      <w:r w:rsidRPr="00316F13">
        <w:rPr>
          <w:lang w:eastAsia="en-AU"/>
        </w:rPr>
        <w:t>bout the impact of the COVID-19 pandemic on people with disability</w:t>
      </w:r>
      <w:r>
        <w:rPr>
          <w:lang w:eastAsia="en-AU"/>
        </w:rPr>
        <w:t>. We have seen first-hand a huge range of less than ideal outcomes for people with disability that have arisen from the changes brought about by the pandemic.</w:t>
      </w:r>
      <w:r w:rsidR="002103B0">
        <w:rPr>
          <w:lang w:eastAsia="en-AU"/>
        </w:rPr>
        <w:t xml:space="preserve"> </w:t>
      </w:r>
      <w:r w:rsidR="00877F5E" w:rsidRPr="00877F5E">
        <w:t>This is not to say that the changes were not necessarily justified by the emergency, just to highlight the disproportionate impact they have on the lives of people with disability</w:t>
      </w:r>
      <w:r w:rsidR="00877F5E">
        <w:t>.</w:t>
      </w:r>
      <w:r w:rsidR="00877F5E">
        <w:rPr>
          <w:lang w:eastAsia="en-AU"/>
        </w:rPr>
        <w:t xml:space="preserve"> </w:t>
      </w:r>
      <w:r w:rsidR="002103B0">
        <w:rPr>
          <w:lang w:eastAsia="en-AU"/>
        </w:rPr>
        <w:t xml:space="preserve">OPA notes that these </w:t>
      </w:r>
      <w:r w:rsidR="003B0C0E">
        <w:rPr>
          <w:lang w:eastAsia="en-AU"/>
        </w:rPr>
        <w:t xml:space="preserve">poor outcomes </w:t>
      </w:r>
      <w:r w:rsidR="007140A8">
        <w:rPr>
          <w:lang w:eastAsia="en-AU"/>
        </w:rPr>
        <w:t xml:space="preserve">often, if not always, </w:t>
      </w:r>
      <w:r w:rsidR="003B0C0E">
        <w:rPr>
          <w:lang w:eastAsia="en-AU"/>
        </w:rPr>
        <w:t>stem from a position of systemic disadvantage</w:t>
      </w:r>
      <w:r w:rsidR="007140A8">
        <w:rPr>
          <w:lang w:eastAsia="en-AU"/>
        </w:rPr>
        <w:t xml:space="preserve"> experienced by </w:t>
      </w:r>
      <w:r w:rsidR="00946E7A">
        <w:rPr>
          <w:lang w:eastAsia="en-AU"/>
        </w:rPr>
        <w:t>the people involved.</w:t>
      </w:r>
    </w:p>
    <w:p w14:paraId="2ED36B7E" w14:textId="1B595492" w:rsidR="00A67851" w:rsidRDefault="00A67851" w:rsidP="00A67851">
      <w:pPr>
        <w:pStyle w:val="NormalOPA"/>
      </w:pPr>
      <w:r>
        <w:t xml:space="preserve">It is nonetheless important to note that </w:t>
      </w:r>
      <w:r w:rsidRPr="00A67851">
        <w:t xml:space="preserve">OPA has also seen the dedication of many people and organisations as they navigate the unprecedented challenges caused by emergencies the nature and size of the bushfires and the pandemic. </w:t>
      </w:r>
      <w:r w:rsidR="00936B4B">
        <w:t xml:space="preserve">On the pandemic in particular, time was (and is) of the essence, creating immense challenges for government authorities in the </w:t>
      </w:r>
      <w:r w:rsidR="00936B4B" w:rsidRPr="00936B4B">
        <w:t xml:space="preserve">development of a range of measures to combat the spread. </w:t>
      </w:r>
    </w:p>
    <w:p w14:paraId="2AB003D2" w14:textId="1EA02147" w:rsidR="00A67851" w:rsidRDefault="00A67851" w:rsidP="00A67851">
      <w:pPr>
        <w:pStyle w:val="NormalOPA"/>
      </w:pPr>
      <w:r w:rsidRPr="00936B4B">
        <w:t>Th</w:t>
      </w:r>
      <w:r w:rsidR="00DC63AC">
        <w:t>e</w:t>
      </w:r>
      <w:r w:rsidRPr="00936B4B">
        <w:t xml:space="preserve"> </w:t>
      </w:r>
      <w:r w:rsidR="007729C5">
        <w:t xml:space="preserve">purpose of this </w:t>
      </w:r>
      <w:r w:rsidRPr="00936B4B">
        <w:t xml:space="preserve">submission is </w:t>
      </w:r>
      <w:r w:rsidR="007729C5">
        <w:t>to</w:t>
      </w:r>
      <w:r w:rsidRPr="00936B4B">
        <w:t xml:space="preserve"> identify </w:t>
      </w:r>
      <w:r w:rsidR="00936B4B">
        <w:t xml:space="preserve">oversights and shortfalls in planning and responding to </w:t>
      </w:r>
      <w:r w:rsidR="007729C5">
        <w:t xml:space="preserve">these </w:t>
      </w:r>
      <w:r w:rsidR="00936B4B">
        <w:t xml:space="preserve">emergencies, so that we </w:t>
      </w:r>
      <w:r w:rsidRPr="00936B4B">
        <w:t xml:space="preserve">can learn from these circumstances </w:t>
      </w:r>
      <w:r w:rsidR="00936B4B">
        <w:t xml:space="preserve">and </w:t>
      </w:r>
      <w:r w:rsidRPr="00936B4B">
        <w:t xml:space="preserve">improve </w:t>
      </w:r>
      <w:r w:rsidR="00936B4B">
        <w:t>planning and response in the future</w:t>
      </w:r>
      <w:r w:rsidRPr="00936B4B">
        <w:t>.</w:t>
      </w:r>
      <w:r w:rsidRPr="00A67851">
        <w:t xml:space="preserve"> </w:t>
      </w:r>
    </w:p>
    <w:p w14:paraId="5C0BBD64" w14:textId="77777777" w:rsidR="00AE435E" w:rsidRDefault="00AE435E" w:rsidP="00AE435E">
      <w:pPr>
        <w:pStyle w:val="Heading2OPA"/>
        <w:numPr>
          <w:ilvl w:val="1"/>
          <w:numId w:val="16"/>
        </w:numPr>
        <w:ind w:left="709" w:hanging="709"/>
      </w:pPr>
      <w:bookmarkStart w:id="10" w:name="_Toc46949127"/>
      <w:r>
        <w:t>Structure of this submission</w:t>
      </w:r>
      <w:bookmarkEnd w:id="10"/>
    </w:p>
    <w:p w14:paraId="65D6B132" w14:textId="1E706F54" w:rsidR="005C5739" w:rsidRDefault="007F3F7E" w:rsidP="004F28D1">
      <w:pPr>
        <w:spacing w:line="276" w:lineRule="auto"/>
        <w:ind w:left="709"/>
      </w:pPr>
      <w:r>
        <w:t>T</w:t>
      </w:r>
      <w:r w:rsidR="000D0830">
        <w:t>h</w:t>
      </w:r>
      <w:r w:rsidR="007B70E0">
        <w:t>e</w:t>
      </w:r>
      <w:r w:rsidR="000D0830">
        <w:t xml:space="preserve"> submission </w:t>
      </w:r>
      <w:r w:rsidR="00CF5771">
        <w:t xml:space="preserve">is organised </w:t>
      </w:r>
      <w:r w:rsidR="005C5739">
        <w:t xml:space="preserve">into six </w:t>
      </w:r>
      <w:r w:rsidR="00781FBB">
        <w:t>sections (excluding th</w:t>
      </w:r>
      <w:r w:rsidR="005F4DF2">
        <w:t>is one)</w:t>
      </w:r>
      <w:r w:rsidR="00D0612D">
        <w:t>.</w:t>
      </w:r>
      <w:r w:rsidR="005F4DF2">
        <w:t xml:space="preserve"> The first section looks at the characteristics of public emergency responses</w:t>
      </w:r>
      <w:r w:rsidR="00224D77">
        <w:t xml:space="preserve">, highlighting </w:t>
      </w:r>
      <w:r w:rsidR="000A70DC">
        <w:t xml:space="preserve">the </w:t>
      </w:r>
      <w:r w:rsidR="001F53F2">
        <w:t xml:space="preserve">‘mainstream’ focus </w:t>
      </w:r>
      <w:r w:rsidR="00CE03A4">
        <w:t xml:space="preserve">and regular failure to </w:t>
      </w:r>
      <w:r w:rsidR="003470A7">
        <w:t xml:space="preserve">adequately </w:t>
      </w:r>
      <w:r w:rsidR="00CE03A4">
        <w:t xml:space="preserve">consider </w:t>
      </w:r>
      <w:r w:rsidR="008E660A">
        <w:t xml:space="preserve">at times </w:t>
      </w:r>
      <w:r w:rsidR="00CE03A4">
        <w:t xml:space="preserve">the implications of </w:t>
      </w:r>
      <w:r w:rsidR="006A131E">
        <w:t>these sweeping responses for the lives of people with disability.</w:t>
      </w:r>
      <w:r w:rsidR="00D0612D">
        <w:t xml:space="preserve"> </w:t>
      </w:r>
      <w:r w:rsidR="00A33957">
        <w:t xml:space="preserve">The second section shares the reality of public emergencies </w:t>
      </w:r>
      <w:r w:rsidR="00BB0BA3">
        <w:t xml:space="preserve">for people with disability, garnered from </w:t>
      </w:r>
      <w:r w:rsidR="009044EC">
        <w:t xml:space="preserve">personal </w:t>
      </w:r>
      <w:r w:rsidR="00BB0BA3">
        <w:t>stories shared with front-line staff</w:t>
      </w:r>
      <w:r w:rsidR="009044EC">
        <w:t xml:space="preserve"> as well as </w:t>
      </w:r>
      <w:r w:rsidR="002520E1">
        <w:t>their perspective</w:t>
      </w:r>
      <w:r w:rsidR="009044EC">
        <w:t>s</w:t>
      </w:r>
      <w:r w:rsidR="002520E1">
        <w:t xml:space="preserve"> on the changed circumstances of their clients</w:t>
      </w:r>
      <w:r w:rsidR="009044EC">
        <w:t>.</w:t>
      </w:r>
      <w:r w:rsidR="00C4545D">
        <w:t xml:space="preserve"> The third section looks at the specific difficulties people with dis</w:t>
      </w:r>
      <w:r w:rsidR="00285069">
        <w:t>ability have accessing disability services (both residential and other)</w:t>
      </w:r>
      <w:r w:rsidR="004656E4">
        <w:t xml:space="preserve"> and the fourth section looks at </w:t>
      </w:r>
      <w:r w:rsidR="004C5CA0">
        <w:t>their experiences of mainstream services during COVID-19</w:t>
      </w:r>
      <w:r w:rsidR="00FF1E9E">
        <w:t xml:space="preserve"> (with many service systems and offering</w:t>
      </w:r>
      <w:r w:rsidR="00A75ED8">
        <w:t>s</w:t>
      </w:r>
      <w:r w:rsidR="00FF1E9E">
        <w:t xml:space="preserve"> much changed by the pandemic).</w:t>
      </w:r>
      <w:r w:rsidR="00A75ED8">
        <w:t xml:space="preserve"> The fifth section </w:t>
      </w:r>
      <w:r w:rsidR="00D65E8B">
        <w:t xml:space="preserve">examines how OPA’s safeguarding roles have adapted to the </w:t>
      </w:r>
      <w:r w:rsidR="00DD7A04">
        <w:t xml:space="preserve">restrictions imposed by the </w:t>
      </w:r>
      <w:r w:rsidR="00D65E8B">
        <w:t>pandemic</w:t>
      </w:r>
      <w:r w:rsidR="00DD7A04">
        <w:t xml:space="preserve">. The final section </w:t>
      </w:r>
      <w:r w:rsidR="00471966">
        <w:t xml:space="preserve">engages in a (currently) theoretical </w:t>
      </w:r>
      <w:r w:rsidR="005755EB">
        <w:t xml:space="preserve">analysis </w:t>
      </w:r>
      <w:r w:rsidR="002668F5">
        <w:t xml:space="preserve">of what should happen during a health system resources crisis and how </w:t>
      </w:r>
      <w:r w:rsidR="004F28D1">
        <w:t>Australia</w:t>
      </w:r>
      <w:r w:rsidR="000A214B">
        <w:t xml:space="preserve"> could plan for one (while doing everything possible to avoid it ever happening).</w:t>
      </w:r>
      <w:r w:rsidR="00471966">
        <w:t xml:space="preserve"> </w:t>
      </w:r>
    </w:p>
    <w:p w14:paraId="22831DDC" w14:textId="2A5B229D" w:rsidR="007449C2" w:rsidRPr="009643A9" w:rsidRDefault="00FA2019" w:rsidP="009643A9">
      <w:pPr>
        <w:spacing w:line="276" w:lineRule="auto"/>
        <w:ind w:left="709"/>
      </w:pPr>
      <w:r>
        <w:t xml:space="preserve">The content is </w:t>
      </w:r>
      <w:r w:rsidR="00D0612D">
        <w:t xml:space="preserve">largely </w:t>
      </w:r>
      <w:r>
        <w:t>derived from the Victorian context</w:t>
      </w:r>
      <w:r w:rsidR="00D0612D">
        <w:t xml:space="preserve">. </w:t>
      </w:r>
      <w:r w:rsidR="000D0830">
        <w:t>W</w:t>
      </w:r>
      <w:r w:rsidR="0017047A">
        <w:t xml:space="preserve">here relevant, </w:t>
      </w:r>
      <w:r w:rsidR="000D0830">
        <w:t xml:space="preserve">OPA </w:t>
      </w:r>
      <w:r w:rsidR="0017047A">
        <w:t xml:space="preserve">makes recommendations </w:t>
      </w:r>
      <w:r w:rsidR="2F22C34B">
        <w:t xml:space="preserve">that could apply </w:t>
      </w:r>
      <w:r w:rsidR="0017047A">
        <w:t>to other</w:t>
      </w:r>
      <w:r w:rsidR="000D0830">
        <w:t xml:space="preserve"> Australian</w:t>
      </w:r>
      <w:r w:rsidR="0017047A">
        <w:t xml:space="preserve"> jurisdictions. </w:t>
      </w:r>
      <w:r w:rsidR="00287258">
        <w:t xml:space="preserve">The submission </w:t>
      </w:r>
      <w:r w:rsidR="00287258" w:rsidRPr="003253D0">
        <w:t xml:space="preserve">includes </w:t>
      </w:r>
      <w:r w:rsidR="009D0474" w:rsidRPr="003253D0">
        <w:t>four</w:t>
      </w:r>
      <w:r w:rsidR="00287258" w:rsidRPr="003253D0">
        <w:t xml:space="preserve"> case stories </w:t>
      </w:r>
      <w:r w:rsidR="00287258">
        <w:t>drawn from OPA’s program areas. All case stories have been de-identified and the names of the individuals have been changed to maintain confidentiality.</w:t>
      </w:r>
      <w:bookmarkEnd w:id="6"/>
    </w:p>
    <w:p w14:paraId="67DD9E16" w14:textId="52C31ED8" w:rsidR="00A84802" w:rsidRPr="004612E3" w:rsidRDefault="007C685E" w:rsidP="004612E3">
      <w:pPr>
        <w:pStyle w:val="Heading1OPA"/>
        <w:numPr>
          <w:ilvl w:val="0"/>
          <w:numId w:val="16"/>
        </w:numPr>
        <w:ind w:left="709" w:hanging="709"/>
        <w:rPr>
          <w:rFonts w:eastAsia="Times New Roman"/>
          <w:szCs w:val="32"/>
          <w:lang w:eastAsia="en-AU"/>
        </w:rPr>
      </w:pPr>
      <w:bookmarkStart w:id="11" w:name="_Toc46949128"/>
      <w:r>
        <w:t>Characteristics of public emergenc</w:t>
      </w:r>
      <w:r w:rsidR="00B54B13">
        <w:t>y responses</w:t>
      </w:r>
      <w:bookmarkEnd w:id="11"/>
    </w:p>
    <w:p w14:paraId="4D9A0C8C" w14:textId="1E1085AB" w:rsidR="00B03558" w:rsidRDefault="00717055" w:rsidP="00A84802">
      <w:pPr>
        <w:spacing w:line="276" w:lineRule="auto"/>
        <w:ind w:left="709"/>
      </w:pPr>
      <w:r>
        <w:t>Because</w:t>
      </w:r>
      <w:r w:rsidR="00BA61B1">
        <w:t xml:space="preserve"> public emergencies effect everyone</w:t>
      </w:r>
      <w:r w:rsidR="005C12A1">
        <w:t xml:space="preserve">, </w:t>
      </w:r>
      <w:r w:rsidR="00B136B2">
        <w:t>as we saw with COVID-19,</w:t>
      </w:r>
      <w:r w:rsidR="00AB608E">
        <w:t xml:space="preserve"> </w:t>
      </w:r>
      <w:r w:rsidR="005C12A1">
        <w:t>the particular needs of p</w:t>
      </w:r>
      <w:r w:rsidR="00885879">
        <w:t>eople with di</w:t>
      </w:r>
      <w:r w:rsidR="005C12A1">
        <w:t>sability</w:t>
      </w:r>
      <w:r w:rsidR="00885879">
        <w:t xml:space="preserve"> are not </w:t>
      </w:r>
      <w:r w:rsidR="00841562">
        <w:t>front of mind</w:t>
      </w:r>
      <w:r w:rsidR="005E73A0">
        <w:t xml:space="preserve"> in the crafting of government response</w:t>
      </w:r>
      <w:r w:rsidR="00CD11BD">
        <w:t>s</w:t>
      </w:r>
      <w:r w:rsidR="00A84802">
        <w:t>.</w:t>
      </w:r>
      <w:r w:rsidR="00E63743">
        <w:t xml:space="preserve"> The </w:t>
      </w:r>
      <w:r w:rsidR="00BF407C">
        <w:t xml:space="preserve">needs of the majority </w:t>
      </w:r>
      <w:r w:rsidR="00A6657C">
        <w:t>are prioritised</w:t>
      </w:r>
      <w:r w:rsidR="00895036">
        <w:t xml:space="preserve"> and </w:t>
      </w:r>
      <w:r w:rsidR="00AB533B">
        <w:t xml:space="preserve">government </w:t>
      </w:r>
      <w:r w:rsidR="00B37083">
        <w:t xml:space="preserve">responses centre </w:t>
      </w:r>
      <w:r w:rsidR="006608CF">
        <w:t xml:space="preserve">(sometimes exclusively) </w:t>
      </w:r>
      <w:r w:rsidR="00B37083">
        <w:t>on them</w:t>
      </w:r>
      <w:r w:rsidR="00AB533B">
        <w:t>.</w:t>
      </w:r>
    </w:p>
    <w:p w14:paraId="406EAF81" w14:textId="77777777" w:rsidR="00D627CA" w:rsidRDefault="003A4CFB" w:rsidP="00B66A93">
      <w:pPr>
        <w:spacing w:line="276" w:lineRule="auto"/>
        <w:ind w:left="709"/>
      </w:pPr>
      <w:r>
        <w:t>It is possible</w:t>
      </w:r>
      <w:r w:rsidR="006E2732">
        <w:t xml:space="preserve"> that</w:t>
      </w:r>
      <w:r w:rsidR="00225F33">
        <w:t xml:space="preserve">, as disaster response research </w:t>
      </w:r>
      <w:r w:rsidR="00BB0784">
        <w:t>indicates, that there is a moral imperative to prioritise</w:t>
      </w:r>
      <w:r w:rsidR="00DD52B4">
        <w:t xml:space="preserve"> a more utilitarian approach to the use of scarce resources</w:t>
      </w:r>
      <w:r w:rsidR="0069634C">
        <w:t xml:space="preserve"> than would normally apply during a state of emergency</w:t>
      </w:r>
      <w:r w:rsidR="004D0D12">
        <w:t xml:space="preserve">. This </w:t>
      </w:r>
      <w:r w:rsidR="00A10D46">
        <w:t xml:space="preserve">would mirror the utilitarian, </w:t>
      </w:r>
      <w:r w:rsidR="00B7763A">
        <w:t>‘save the most lives</w:t>
      </w:r>
      <w:r w:rsidR="00F66B42">
        <w:t>’,</w:t>
      </w:r>
      <w:r w:rsidR="00B7763A">
        <w:t xml:space="preserve"> </w:t>
      </w:r>
      <w:r w:rsidR="004C144E">
        <w:t xml:space="preserve">logic </w:t>
      </w:r>
      <w:r w:rsidR="00F66B42">
        <w:t xml:space="preserve">which </w:t>
      </w:r>
      <w:r w:rsidR="004C144E">
        <w:t>applies when health care resources are completely overwhelmed by demand</w:t>
      </w:r>
      <w:r w:rsidR="00F66B42">
        <w:t xml:space="preserve"> </w:t>
      </w:r>
      <w:r w:rsidR="00F66B42">
        <w:lastRenderedPageBreak/>
        <w:t>(for example, dur</w:t>
      </w:r>
      <w:r w:rsidR="00A2483D">
        <w:t>ing a natural disaster or pandemic)</w:t>
      </w:r>
      <w:r w:rsidR="004C144E">
        <w:t>.</w:t>
      </w:r>
      <w:r w:rsidR="00C15981">
        <w:t xml:space="preserve"> If this </w:t>
      </w:r>
      <w:r w:rsidR="00D2079A">
        <w:t xml:space="preserve">logic </w:t>
      </w:r>
      <w:r w:rsidR="00C15981">
        <w:t>is accepted,</w:t>
      </w:r>
      <w:r w:rsidR="00DB3CB5">
        <w:t xml:space="preserve"> </w:t>
      </w:r>
      <w:r w:rsidR="003B67E0">
        <w:t xml:space="preserve">and during efforts to control </w:t>
      </w:r>
      <w:r w:rsidR="009E5844">
        <w:t xml:space="preserve">and mitigate the impact of </w:t>
      </w:r>
      <w:r w:rsidR="003B67E0">
        <w:t>a pandemic</w:t>
      </w:r>
      <w:r w:rsidR="003D7927">
        <w:t xml:space="preserve"> it certainly would be hard to argue with,</w:t>
      </w:r>
      <w:r w:rsidR="00C15981">
        <w:t xml:space="preserve"> it may </w:t>
      </w:r>
      <w:r w:rsidR="00D2079A">
        <w:t xml:space="preserve">help to </w:t>
      </w:r>
      <w:r w:rsidR="00C15981">
        <w:t xml:space="preserve">explain the initial focus on the </w:t>
      </w:r>
      <w:r w:rsidR="004C37B0">
        <w:t>circumstance</w:t>
      </w:r>
      <w:r w:rsidR="00C15981">
        <w:t xml:space="preserve"> of the many</w:t>
      </w:r>
      <w:r w:rsidR="004C37B0">
        <w:t xml:space="preserve"> in </w:t>
      </w:r>
      <w:r w:rsidR="00420932">
        <w:t xml:space="preserve">the </w:t>
      </w:r>
      <w:r w:rsidR="00D04E61">
        <w:t xml:space="preserve">COVID related </w:t>
      </w:r>
      <w:r w:rsidR="00420932">
        <w:t>government policies Australia</w:t>
      </w:r>
      <w:r w:rsidR="007F3976">
        <w:t>ns</w:t>
      </w:r>
      <w:r w:rsidR="00420932">
        <w:t xml:space="preserve"> ha</w:t>
      </w:r>
      <w:r w:rsidR="007F3976">
        <w:t>ve</w:t>
      </w:r>
      <w:r w:rsidR="00420932">
        <w:t xml:space="preserve"> seen during COVID-19.</w:t>
      </w:r>
      <w:r w:rsidR="00BB0784">
        <w:t xml:space="preserve"> </w:t>
      </w:r>
    </w:p>
    <w:p w14:paraId="7AE4A139" w14:textId="411AA88C" w:rsidR="00A845C7" w:rsidRDefault="00A97564" w:rsidP="00B66A93">
      <w:pPr>
        <w:spacing w:line="276" w:lineRule="auto"/>
        <w:ind w:left="709"/>
      </w:pPr>
      <w:r>
        <w:t xml:space="preserve">There are many examples of people with disability being an afterthought. </w:t>
      </w:r>
      <w:r w:rsidR="00B66A93">
        <w:t xml:space="preserve">For example, </w:t>
      </w:r>
      <w:r w:rsidR="00A9610B">
        <w:t xml:space="preserve">the </w:t>
      </w:r>
      <w:r w:rsidR="00A9610B" w:rsidRPr="00034AE3">
        <w:rPr>
          <w:i/>
          <w:iCs/>
        </w:rPr>
        <w:t xml:space="preserve">Australian Health Sector </w:t>
      </w:r>
      <w:r w:rsidR="00772AD7" w:rsidRPr="00034AE3">
        <w:rPr>
          <w:i/>
          <w:iCs/>
        </w:rPr>
        <w:t xml:space="preserve">Emergency </w:t>
      </w:r>
      <w:r w:rsidR="00A9610B" w:rsidRPr="00034AE3">
        <w:rPr>
          <w:i/>
          <w:iCs/>
        </w:rPr>
        <w:t xml:space="preserve">Response </w:t>
      </w:r>
      <w:r w:rsidR="00772AD7" w:rsidRPr="00034AE3">
        <w:rPr>
          <w:i/>
          <w:iCs/>
        </w:rPr>
        <w:t>Plan for Novel Coronavirus (</w:t>
      </w:r>
      <w:r w:rsidR="00A9610B" w:rsidRPr="00034AE3">
        <w:rPr>
          <w:i/>
          <w:iCs/>
        </w:rPr>
        <w:t>COVID-19</w:t>
      </w:r>
      <w:r w:rsidR="00772AD7" w:rsidRPr="00034AE3">
        <w:rPr>
          <w:i/>
          <w:iCs/>
        </w:rPr>
        <w:t>)</w:t>
      </w:r>
      <w:r w:rsidR="00A9610B">
        <w:t xml:space="preserve"> </w:t>
      </w:r>
      <w:r w:rsidR="00034AE3">
        <w:t>was published in mid-February while the</w:t>
      </w:r>
      <w:r w:rsidR="00D601BB">
        <w:t xml:space="preserve"> related</w:t>
      </w:r>
      <w:r w:rsidR="00034AE3">
        <w:t xml:space="preserve"> </w:t>
      </w:r>
      <w:r w:rsidR="00942F8C" w:rsidRPr="00D601BB">
        <w:rPr>
          <w:i/>
          <w:iCs/>
        </w:rPr>
        <w:t>Management and Operational Plan for People with Disability</w:t>
      </w:r>
      <w:r w:rsidR="00942F8C">
        <w:t xml:space="preserve"> was published in A</w:t>
      </w:r>
      <w:r w:rsidR="00D601BB">
        <w:t>pril.</w:t>
      </w:r>
      <w:r w:rsidR="008F4DD8">
        <w:t xml:space="preserve"> </w:t>
      </w:r>
      <w:r w:rsidR="00DD5E13">
        <w:t xml:space="preserve">An easy read version of the Management and Operational Plan for People with Disability was also published. </w:t>
      </w:r>
      <w:r w:rsidR="00C52396">
        <w:t>Financial aid packages</w:t>
      </w:r>
      <w:r w:rsidR="00944116">
        <w:t xml:space="preserve"> to support the economy and provide a</w:t>
      </w:r>
      <w:r w:rsidR="00534DB8">
        <w:t>n enhanced</w:t>
      </w:r>
      <w:r w:rsidR="00944116">
        <w:t xml:space="preserve"> safety net to people who lost work, like t</w:t>
      </w:r>
      <w:r w:rsidR="008F4DD8">
        <w:t>he Job</w:t>
      </w:r>
      <w:r w:rsidR="00ED789F">
        <w:t>K</w:t>
      </w:r>
      <w:r w:rsidR="008F4DD8">
        <w:t>eeper and Job</w:t>
      </w:r>
      <w:r w:rsidR="00ED789F">
        <w:t>S</w:t>
      </w:r>
      <w:r w:rsidR="008F4DD8">
        <w:t>eeker initiatives</w:t>
      </w:r>
      <w:r w:rsidR="00944116">
        <w:t xml:space="preserve">, </w:t>
      </w:r>
      <w:r w:rsidR="005A790F">
        <w:t xml:space="preserve">largely </w:t>
      </w:r>
      <w:r w:rsidR="0010761B">
        <w:t>le</w:t>
      </w:r>
      <w:r w:rsidR="00534DB8">
        <w:t>ft</w:t>
      </w:r>
      <w:r w:rsidR="0010761B">
        <w:t xml:space="preserve"> out people on the Disability Support Pension</w:t>
      </w:r>
      <w:r w:rsidR="00DF0A39">
        <w:t xml:space="preserve"> and </w:t>
      </w:r>
      <w:r w:rsidR="009A4133">
        <w:t>C</w:t>
      </w:r>
      <w:r w:rsidR="00DF0A39">
        <w:t>arer</w:t>
      </w:r>
      <w:r w:rsidR="009A4133">
        <w:t xml:space="preserve"> payment</w:t>
      </w:r>
      <w:r w:rsidR="005A790F">
        <w:t>.</w:t>
      </w:r>
      <w:r w:rsidR="005871C2">
        <w:t xml:space="preserve"> </w:t>
      </w:r>
      <w:r w:rsidR="00117454">
        <w:t xml:space="preserve">And, most </w:t>
      </w:r>
      <w:r w:rsidR="00B9424C">
        <w:t xml:space="preserve">confusingly for the disability sector, </w:t>
      </w:r>
      <w:r w:rsidR="004A4298">
        <w:t>advice from the newly minted National Cabinet</w:t>
      </w:r>
      <w:r w:rsidR="00E344DD">
        <w:t xml:space="preserve">, </w:t>
      </w:r>
      <w:r w:rsidR="007D6F12">
        <w:t>alongside</w:t>
      </w:r>
      <w:r w:rsidR="00E344DD">
        <w:t xml:space="preserve"> state and territory Chief Health Officer directions</w:t>
      </w:r>
      <w:r w:rsidR="007D6F12">
        <w:t xml:space="preserve"> (that have</w:t>
      </w:r>
      <w:r w:rsidR="00FB6BEE">
        <w:t xml:space="preserve"> </w:t>
      </w:r>
      <w:r w:rsidR="007D6F12">
        <w:t>evolved along with the risk levels</w:t>
      </w:r>
      <w:r w:rsidR="00E3086F">
        <w:t xml:space="preserve">) failed to clarify what </w:t>
      </w:r>
      <w:r w:rsidR="003C59CB">
        <w:t>these new laws meant for people with disability who relied on carers for activities of daily living</w:t>
      </w:r>
      <w:r w:rsidR="00B16162">
        <w:t>, who lived in congregate care</w:t>
      </w:r>
      <w:r w:rsidR="00765C5B">
        <w:t>,</w:t>
      </w:r>
      <w:r w:rsidR="00455182">
        <w:t xml:space="preserve"> or who were not able to understand and abide by the directions.</w:t>
      </w:r>
      <w:r w:rsidR="005A790F">
        <w:t xml:space="preserve"> </w:t>
      </w:r>
      <w:r w:rsidR="00080E27" w:rsidRPr="00080E27">
        <w:t xml:space="preserve"> </w:t>
      </w:r>
      <w:r w:rsidR="00080E27" w:rsidRPr="00AC2C70">
        <w:t>Whi</w:t>
      </w:r>
      <w:r w:rsidR="00080E27" w:rsidRPr="00080E27">
        <w:t xml:space="preserve">le a variety of </w:t>
      </w:r>
      <w:r w:rsidR="00080E27" w:rsidRPr="00D86F78">
        <w:t xml:space="preserve">resources </w:t>
      </w:r>
      <w:r w:rsidR="00080E27" w:rsidRPr="00945AEA">
        <w:t>and a</w:t>
      </w:r>
      <w:r w:rsidR="00080E27" w:rsidRPr="00DD5E13">
        <w:t>dvice was in time released for providers and people with disability about these changes—by the Australian Department of Health, the Victorian Department of Health and Human Services,</w:t>
      </w:r>
      <w:r w:rsidR="000954F5">
        <w:rPr>
          <w:rStyle w:val="FootnoteReference"/>
        </w:rPr>
        <w:footnoteReference w:id="8"/>
      </w:r>
      <w:r w:rsidR="00080E27" w:rsidRPr="00DD5E13">
        <w:t xml:space="preserve"> the National Disability Insurance Agency</w:t>
      </w:r>
      <w:r w:rsidR="00CB7C69">
        <w:t>,</w:t>
      </w:r>
      <w:r w:rsidR="00080E27" w:rsidRPr="00DD5E13">
        <w:t xml:space="preserve"> the NDIS Quality and Safeguards Commission</w:t>
      </w:r>
      <w:r w:rsidR="00CB7C69">
        <w:t xml:space="preserve"> and</w:t>
      </w:r>
      <w:r w:rsidR="00081AD6">
        <w:t xml:space="preserve"> National Disability Services</w:t>
      </w:r>
      <w:r w:rsidR="00080E27" w:rsidRPr="00DD5E13">
        <w:t>—</w:t>
      </w:r>
      <w:r w:rsidR="0007411F" w:rsidRPr="0007411F">
        <w:t>this guidance did not adequately address the issues facing disability service providers who offered residential care to people who were unable to comply with social distancing and personal hygiene advice. How should a facilities' duty of care responsibilities interact with the new pandemic related directions when a person could not be depended on to follow the advice around social distancing, for example?</w:t>
      </w:r>
      <w:r w:rsidR="000856AA">
        <w:t xml:space="preserve"> </w:t>
      </w:r>
    </w:p>
    <w:p w14:paraId="69A673E1" w14:textId="22F80B27" w:rsidR="00B138FB" w:rsidRDefault="00977376" w:rsidP="00B66A93">
      <w:pPr>
        <w:spacing w:line="276" w:lineRule="auto"/>
        <w:ind w:left="709"/>
      </w:pPr>
      <w:r w:rsidRPr="00C61A9E">
        <w:t xml:space="preserve">All of these </w:t>
      </w:r>
      <w:r w:rsidR="00C65181" w:rsidRPr="00C61A9E">
        <w:t xml:space="preserve">laws and policies have had implications for </w:t>
      </w:r>
      <w:r w:rsidR="004D06A4" w:rsidRPr="00C61A9E">
        <w:t>people with disability</w:t>
      </w:r>
      <w:r w:rsidR="00EC650C" w:rsidRPr="00C61A9E">
        <w:t>, some of them clearly negative</w:t>
      </w:r>
      <w:r w:rsidR="002D08EE" w:rsidRPr="00C61A9E">
        <w:t xml:space="preserve"> </w:t>
      </w:r>
      <w:r w:rsidR="001F105D" w:rsidRPr="00C61A9E">
        <w:t>and</w:t>
      </w:r>
      <w:r w:rsidR="00AE713E">
        <w:t>, while often unintended,</w:t>
      </w:r>
      <w:r w:rsidR="001F105D" w:rsidRPr="00C61A9E">
        <w:t xml:space="preserve"> have resulted in </w:t>
      </w:r>
      <w:r w:rsidR="00EC4A78">
        <w:t xml:space="preserve">arguably </w:t>
      </w:r>
      <w:r w:rsidR="001F105D" w:rsidRPr="00C61A9E">
        <w:t>unlawful restrictive interventions</w:t>
      </w:r>
      <w:r w:rsidR="00412FC3" w:rsidRPr="00C61A9E">
        <w:t xml:space="preserve"> and exposure to exploitation and coercion </w:t>
      </w:r>
      <w:r w:rsidR="002D08EE" w:rsidRPr="00C61A9E">
        <w:t>(</w:t>
      </w:r>
      <w:r w:rsidR="00656A03" w:rsidRPr="00C61A9E">
        <w:t>see</w:t>
      </w:r>
      <w:r w:rsidR="007C74B0" w:rsidRPr="00C61A9E">
        <w:t xml:space="preserve"> </w:t>
      </w:r>
      <w:r w:rsidR="00D92C13" w:rsidRPr="00C61A9E">
        <w:t>sections</w:t>
      </w:r>
      <w:r w:rsidR="007C74B0" w:rsidRPr="00C61A9E">
        <w:t xml:space="preserve"> </w:t>
      </w:r>
      <w:r w:rsidR="002D08EE" w:rsidRPr="00C61A9E">
        <w:t>below)</w:t>
      </w:r>
      <w:r w:rsidR="00EC650C">
        <w:t>.</w:t>
      </w:r>
    </w:p>
    <w:p w14:paraId="57D8600C" w14:textId="374D83D9" w:rsidR="00A61CE4" w:rsidRDefault="00B138FB" w:rsidP="00B66A93">
      <w:pPr>
        <w:spacing w:line="276" w:lineRule="auto"/>
        <w:ind w:left="709"/>
      </w:pPr>
      <w:r>
        <w:t xml:space="preserve">In the case of COVID-19, of course, OPA </w:t>
      </w:r>
      <w:r w:rsidR="00312CB5">
        <w:t xml:space="preserve">congratulates </w:t>
      </w:r>
      <w:r w:rsidR="007A3476">
        <w:t>Federal and state</w:t>
      </w:r>
      <w:r w:rsidR="00312CB5">
        <w:t xml:space="preserve"> </w:t>
      </w:r>
      <w:r w:rsidR="007A3476">
        <w:t>governments</w:t>
      </w:r>
      <w:r w:rsidR="00C65181">
        <w:t xml:space="preserve"> </w:t>
      </w:r>
      <w:r w:rsidR="00025C21">
        <w:t>on the efficacy of their pandemic suppression strategy</w:t>
      </w:r>
      <w:r w:rsidR="00F530C7">
        <w:t>. Clearly</w:t>
      </w:r>
      <w:r w:rsidR="00086218">
        <w:t xml:space="preserve">, if this had not been so successful, </w:t>
      </w:r>
      <w:r w:rsidR="00C927F3">
        <w:t xml:space="preserve">the health and safety of </w:t>
      </w:r>
      <w:r w:rsidR="001C4FF4">
        <w:t xml:space="preserve">many </w:t>
      </w:r>
      <w:r w:rsidR="00086218">
        <w:t xml:space="preserve">people with disability would have been </w:t>
      </w:r>
      <w:r w:rsidR="00C927F3">
        <w:t xml:space="preserve">put </w:t>
      </w:r>
      <w:r w:rsidR="001C4FF4">
        <w:t xml:space="preserve">at </w:t>
      </w:r>
      <w:r w:rsidR="005E4472">
        <w:t>much greater</w:t>
      </w:r>
      <w:r w:rsidR="001C4FF4">
        <w:t xml:space="preserve"> risk</w:t>
      </w:r>
      <w:r w:rsidR="00C927F3">
        <w:t>.</w:t>
      </w:r>
      <w:r w:rsidR="006E59D7">
        <w:t xml:space="preserve"> </w:t>
      </w:r>
      <w:r w:rsidR="00641DA6">
        <w:t>Nevertheless</w:t>
      </w:r>
      <w:r w:rsidR="006E59D7">
        <w:t xml:space="preserve">, OPA contends that </w:t>
      </w:r>
      <w:r w:rsidR="00927F37">
        <w:t xml:space="preserve">more could have been done to address the significant </w:t>
      </w:r>
      <w:r w:rsidR="00767818">
        <w:t xml:space="preserve">initial </w:t>
      </w:r>
      <w:r w:rsidR="00927F37">
        <w:t xml:space="preserve">confusion caused by </w:t>
      </w:r>
      <w:r w:rsidR="006E7A81">
        <w:t xml:space="preserve">the </w:t>
      </w:r>
      <w:r w:rsidR="008F7430">
        <w:t>CHO</w:t>
      </w:r>
      <w:r w:rsidR="00641DA6">
        <w:t xml:space="preserve"> Directions</w:t>
      </w:r>
      <w:r w:rsidR="000D37B9">
        <w:t xml:space="preserve"> in a way which would not have reduced the effectiveness of the Australian public health response.</w:t>
      </w:r>
    </w:p>
    <w:p w14:paraId="58515FD0" w14:textId="0C257730" w:rsidR="00385C1A" w:rsidRDefault="001F6AF5" w:rsidP="00207225">
      <w:pPr>
        <w:spacing w:line="276" w:lineRule="auto"/>
        <w:ind w:left="709"/>
      </w:pPr>
      <w:r>
        <w:t xml:space="preserve">Emergencies in the category of natural disasters </w:t>
      </w:r>
      <w:r w:rsidR="00F0466B">
        <w:t xml:space="preserve">hold the same </w:t>
      </w:r>
      <w:r w:rsidR="00C65057">
        <w:t>tendencies and tensions</w:t>
      </w:r>
      <w:r w:rsidR="00107C0C">
        <w:t>: as public announcements about evacuation and preparedness</w:t>
      </w:r>
      <w:r w:rsidR="008055CA">
        <w:t xml:space="preserve"> </w:t>
      </w:r>
      <w:r w:rsidR="003F174B">
        <w:t xml:space="preserve">target individuals and households </w:t>
      </w:r>
      <w:r w:rsidR="00D45566">
        <w:t xml:space="preserve">able to make and execute decisions and plans of action </w:t>
      </w:r>
      <w:r w:rsidR="00683DE7">
        <w:t xml:space="preserve">for themselves, </w:t>
      </w:r>
      <w:r w:rsidR="00D45566">
        <w:t>independently of services.</w:t>
      </w:r>
      <w:r w:rsidR="00AC742B">
        <w:t xml:space="preserve"> And social and disability services</w:t>
      </w:r>
      <w:r w:rsidR="0005721B">
        <w:t>, including residential services, are left to interpret these directions</w:t>
      </w:r>
      <w:r w:rsidR="009C3DFD">
        <w:t xml:space="preserve"> </w:t>
      </w:r>
      <w:r w:rsidR="007A1D9D">
        <w:t xml:space="preserve">and make decisions to protect both their staff and </w:t>
      </w:r>
      <w:r w:rsidR="00851B87">
        <w:t>service users from danger</w:t>
      </w:r>
      <w:r w:rsidR="00152628" w:rsidRPr="00080E27">
        <w:t>.</w:t>
      </w:r>
      <w:r w:rsidR="00DE5E7A" w:rsidRPr="00080E27">
        <w:t xml:space="preserve"> </w:t>
      </w:r>
      <w:r w:rsidR="00DE5E7A" w:rsidRPr="005644BF">
        <w:t xml:space="preserve">This </w:t>
      </w:r>
      <w:r w:rsidR="00410EE0" w:rsidRPr="005644BF">
        <w:t xml:space="preserve">tension between business interest and service user wellbeing will be explored in section </w:t>
      </w:r>
      <w:r w:rsidR="00B74A73" w:rsidRPr="005644BF">
        <w:t>six below (Accessing disability services in a crisis).</w:t>
      </w:r>
    </w:p>
    <w:p w14:paraId="657CBEF6" w14:textId="1E612EE6" w:rsidR="001D20F9" w:rsidRDefault="006B686E" w:rsidP="001D20F9">
      <w:pPr>
        <w:pStyle w:val="Heading2OPA"/>
        <w:numPr>
          <w:ilvl w:val="1"/>
          <w:numId w:val="16"/>
        </w:numPr>
        <w:ind w:left="709" w:hanging="709"/>
      </w:pPr>
      <w:bookmarkStart w:id="12" w:name="_Toc46949129"/>
      <w:r>
        <w:lastRenderedPageBreak/>
        <w:t>Confusion and a</w:t>
      </w:r>
      <w:r w:rsidR="00E16658">
        <w:t>mbiguity</w:t>
      </w:r>
      <w:bookmarkEnd w:id="12"/>
    </w:p>
    <w:p w14:paraId="3500BEC9" w14:textId="38B72821" w:rsidR="00833A02" w:rsidRDefault="00D001B9" w:rsidP="00A84802">
      <w:pPr>
        <w:spacing w:line="276" w:lineRule="auto"/>
        <w:ind w:left="709"/>
      </w:pPr>
      <w:r>
        <w:t>This section explores</w:t>
      </w:r>
      <w:r w:rsidR="005F3DD6">
        <w:t xml:space="preserve"> the impact </w:t>
      </w:r>
      <w:r w:rsidR="00061EEB">
        <w:t>of system-wide confusion</w:t>
      </w:r>
      <w:r w:rsidR="00915CC5">
        <w:t>s that occur during a public emergency on people with disability</w:t>
      </w:r>
      <w:r w:rsidR="00F41DC7">
        <w:t xml:space="preserve">. It shows how these </w:t>
      </w:r>
      <w:r w:rsidR="00E923B5">
        <w:t>various interruptions of ‘business as usual’ practices</w:t>
      </w:r>
      <w:r w:rsidR="00E577C9">
        <w:t xml:space="preserve"> are felt dispro</w:t>
      </w:r>
      <w:r w:rsidR="00D628C4">
        <w:t xml:space="preserve">portionately by people with disability (and other people whose circumstances </w:t>
      </w:r>
      <w:r w:rsidR="00DE443E">
        <w:t xml:space="preserve">are outside </w:t>
      </w:r>
      <w:r w:rsidR="00595931">
        <w:t xml:space="preserve">of </w:t>
      </w:r>
      <w:r w:rsidR="00DE443E">
        <w:t>mainstream experiences)</w:t>
      </w:r>
      <w:r w:rsidR="00595931">
        <w:t>.</w:t>
      </w:r>
      <w:r w:rsidR="00D628C4">
        <w:t xml:space="preserve"> </w:t>
      </w:r>
      <w:r w:rsidR="00DF4869">
        <w:t>In part</w:t>
      </w:r>
      <w:r w:rsidR="006110B5">
        <w:t>,</w:t>
      </w:r>
      <w:r w:rsidR="00DF4869">
        <w:t xml:space="preserve"> th</w:t>
      </w:r>
      <w:r w:rsidR="000B2DD9">
        <w:t xml:space="preserve">e greater impact on people with disability is the result of their </w:t>
      </w:r>
      <w:r w:rsidR="002D2BE7">
        <w:t xml:space="preserve">higher </w:t>
      </w:r>
      <w:r w:rsidR="006110B5">
        <w:t>levels of</w:t>
      </w:r>
      <w:r w:rsidR="000B2DD9">
        <w:t xml:space="preserve"> involvement with both </w:t>
      </w:r>
      <w:r w:rsidR="00FE4505">
        <w:t>criminal and civil justice systems and healthcare systems</w:t>
      </w:r>
      <w:r w:rsidR="002D2BE7">
        <w:t>.</w:t>
      </w:r>
      <w:r w:rsidR="004C4193">
        <w:t xml:space="preserve"> </w:t>
      </w:r>
      <w:r w:rsidR="00D86C80">
        <w:t>In part, it is the result of increased</w:t>
      </w:r>
      <w:r w:rsidR="004B1356">
        <w:t xml:space="preserve"> levels of</w:t>
      </w:r>
      <w:r w:rsidR="00D86C80">
        <w:t xml:space="preserve"> ambiguity</w:t>
      </w:r>
      <w:r w:rsidR="004B1356">
        <w:t xml:space="preserve"> that occur during an emergency</w:t>
      </w:r>
      <w:r w:rsidR="00F33D05">
        <w:t xml:space="preserve">. This ambiguity can be seen </w:t>
      </w:r>
      <w:r w:rsidR="00EE71C7">
        <w:t>in both legal and practical arenas.</w:t>
      </w:r>
    </w:p>
    <w:p w14:paraId="658B4331" w14:textId="267EBA8F" w:rsidR="002F0DC7" w:rsidRDefault="00892B3A" w:rsidP="00E24BDE">
      <w:pPr>
        <w:spacing w:line="276" w:lineRule="auto"/>
        <w:ind w:left="709"/>
      </w:pPr>
      <w:r>
        <w:t>From a practical perspective</w:t>
      </w:r>
      <w:r w:rsidR="00C14797">
        <w:t xml:space="preserve">, the many mainstream services that people with disability engage with day-to-day </w:t>
      </w:r>
      <w:r w:rsidR="00D472F2">
        <w:t xml:space="preserve">experienced great upheaval when </w:t>
      </w:r>
      <w:r w:rsidR="002A398F" w:rsidRPr="002A398F">
        <w:t xml:space="preserve">public health advice </w:t>
      </w:r>
      <w:r w:rsidR="00C3576E">
        <w:t>caused them to</w:t>
      </w:r>
      <w:r w:rsidR="00D472F2">
        <w:t xml:space="preserve"> close their doors</w:t>
      </w:r>
      <w:r w:rsidR="00C542FF">
        <w:t xml:space="preserve"> (wherever possible) or, in the case of </w:t>
      </w:r>
      <w:r w:rsidR="00802A04">
        <w:t xml:space="preserve">hospitals, reframe their </w:t>
      </w:r>
      <w:r w:rsidR="00DC62E0">
        <w:t xml:space="preserve">goals and </w:t>
      </w:r>
      <w:r w:rsidR="00802A04">
        <w:t>practice</w:t>
      </w:r>
      <w:r w:rsidR="00DC62E0">
        <w:t>s</w:t>
      </w:r>
      <w:r w:rsidR="00802A04">
        <w:t xml:space="preserve"> to</w:t>
      </w:r>
      <w:r w:rsidR="00DC62E0">
        <w:t xml:space="preserve">wards clearing beds </w:t>
      </w:r>
      <w:r w:rsidR="00FA6F18">
        <w:t>and discouraging new admissions</w:t>
      </w:r>
      <w:r w:rsidR="0044072F">
        <w:t xml:space="preserve">. </w:t>
      </w:r>
      <w:r w:rsidR="00687C21">
        <w:t xml:space="preserve">OPA’s frontline staff saw multiple </w:t>
      </w:r>
      <w:r w:rsidR="00D000BA">
        <w:t xml:space="preserve">negative outcomes </w:t>
      </w:r>
      <w:r w:rsidR="005B2A2E">
        <w:t>for their clients stemming from these changes</w:t>
      </w:r>
      <w:r w:rsidR="006A2DC4">
        <w:t xml:space="preserve">. These </w:t>
      </w:r>
      <w:r w:rsidR="00E24BDE">
        <w:t>will be detailed in the section on mainstream services.</w:t>
      </w:r>
      <w:r w:rsidR="00802A04">
        <w:t xml:space="preserve"> </w:t>
      </w:r>
      <w:r w:rsidR="0084628E">
        <w:t xml:space="preserve">OPA’s own staff </w:t>
      </w:r>
      <w:r w:rsidR="00A66D48">
        <w:t>were faced with confusion over which services they could expect to be offered during the pandemic</w:t>
      </w:r>
      <w:r w:rsidR="00352D67">
        <w:t xml:space="preserve">, with community services in some regions continuing unabated while those in other regions were suspended or went </w:t>
      </w:r>
      <w:r w:rsidR="00137F9C">
        <w:t>completely online.</w:t>
      </w:r>
      <w:r w:rsidR="002D213F">
        <w:t xml:space="preserve"> This is not to say that the changes were not </w:t>
      </w:r>
      <w:r w:rsidR="004929E0">
        <w:t xml:space="preserve">necessarily </w:t>
      </w:r>
      <w:r w:rsidR="002D213F">
        <w:t>justified</w:t>
      </w:r>
      <w:r w:rsidR="004929E0">
        <w:t xml:space="preserve"> by the emergency, just to </w:t>
      </w:r>
      <w:r w:rsidR="00F96DCF">
        <w:t xml:space="preserve">highlight the disproportionate </w:t>
      </w:r>
      <w:r w:rsidR="00220AC2">
        <w:t>impact th</w:t>
      </w:r>
      <w:r w:rsidR="00CA0AC3">
        <w:t>ey have on the lives of people with disability</w:t>
      </w:r>
      <w:r w:rsidR="006F5B16">
        <w:t>.</w:t>
      </w:r>
    </w:p>
    <w:p w14:paraId="643397E5" w14:textId="2BB721C2" w:rsidR="00F24A25" w:rsidRDefault="002E506B" w:rsidP="005179AD">
      <w:pPr>
        <w:spacing w:line="276" w:lineRule="auto"/>
        <w:ind w:left="709"/>
      </w:pPr>
      <w:r>
        <w:t>Further, OPA is aware that c</w:t>
      </w:r>
      <w:r w:rsidR="005179AD">
        <w:t xml:space="preserve">onfusion was also apparent among residents </w:t>
      </w:r>
      <w:r>
        <w:t>of disability services</w:t>
      </w:r>
      <w:r w:rsidR="00191F76">
        <w:t xml:space="preserve">. </w:t>
      </w:r>
      <w:r w:rsidR="000F00A4">
        <w:t xml:space="preserve">In some cases, people with significant cognitive impairment </w:t>
      </w:r>
      <w:r w:rsidR="00D969C2">
        <w:t xml:space="preserve">may not have been able to understand if someone tried to explain the sudden and </w:t>
      </w:r>
      <w:r w:rsidR="00800D6A">
        <w:t>restrictive changes to their lives in congregate care</w:t>
      </w:r>
      <w:r w:rsidR="0014658A">
        <w:t>. However, anecdotally</w:t>
      </w:r>
      <w:r w:rsidR="00C0317C">
        <w:t xml:space="preserve"> it has been suggested that some services did not attempt to explain </w:t>
      </w:r>
      <w:r w:rsidR="00F06BC1">
        <w:t>the changes that were being imposed as part of a public health response to the pandemic.</w:t>
      </w:r>
      <w:r w:rsidR="00935E31">
        <w:t xml:space="preserve"> </w:t>
      </w:r>
      <w:r w:rsidR="001905C9">
        <w:t xml:space="preserve">Whose job was it to explain that the </w:t>
      </w:r>
      <w:r w:rsidR="000F1022">
        <w:t xml:space="preserve">sudden </w:t>
      </w:r>
      <w:r w:rsidR="001905C9">
        <w:t>restrictions being imposed in their homes were not punishment</w:t>
      </w:r>
      <w:r w:rsidR="000F1022">
        <w:t>s but were happening in homes across Australia</w:t>
      </w:r>
      <w:r w:rsidR="00F6273A">
        <w:t>? Were accessible easy English resources shared</w:t>
      </w:r>
      <w:r w:rsidR="00F24A25">
        <w:t xml:space="preserve"> with residents</w:t>
      </w:r>
      <w:r w:rsidR="00F6273A">
        <w:t xml:space="preserve">? </w:t>
      </w:r>
    </w:p>
    <w:p w14:paraId="2A798432" w14:textId="171B575B" w:rsidR="005179AD" w:rsidRDefault="00935E31" w:rsidP="005179AD">
      <w:pPr>
        <w:spacing w:line="276" w:lineRule="auto"/>
        <w:ind w:left="709"/>
      </w:pPr>
      <w:r>
        <w:t xml:space="preserve">Families also expressed fear and concern </w:t>
      </w:r>
      <w:r w:rsidR="00C354E1">
        <w:t xml:space="preserve">about </w:t>
      </w:r>
      <w:r w:rsidR="0030566D">
        <w:t>the lack of PPE use in congregate care facilities.</w:t>
      </w:r>
      <w:r w:rsidR="000950CC">
        <w:rPr>
          <w:rStyle w:val="FootnoteReference"/>
        </w:rPr>
        <w:footnoteReference w:id="9"/>
      </w:r>
      <w:r w:rsidR="0030566D">
        <w:t xml:space="preserve"> Ag</w:t>
      </w:r>
      <w:r w:rsidR="00313D1B">
        <w:t>ain, a plain English explainer could have been developed</w:t>
      </w:r>
      <w:r w:rsidR="00876C66">
        <w:t xml:space="preserve"> and shared across the sector to explain that this was in line with public health advice</w:t>
      </w:r>
      <w:r w:rsidR="001C3F59">
        <w:t xml:space="preserve"> and was not a failure on the part of the provider to offer a safe service. </w:t>
      </w:r>
    </w:p>
    <w:p w14:paraId="72C9C662" w14:textId="77777777" w:rsidR="00194A3C" w:rsidRPr="00194A3C" w:rsidRDefault="00194A3C" w:rsidP="00194A3C">
      <w:pPr>
        <w:spacing w:line="276" w:lineRule="auto"/>
        <w:ind w:left="709"/>
        <w:rPr>
          <w:b/>
          <w:bCs/>
          <w:lang w:val="en-CA"/>
        </w:rPr>
      </w:pPr>
      <w:r w:rsidRPr="00194A3C">
        <w:rPr>
          <w:b/>
          <w:bCs/>
          <w:lang w:val="en-CA"/>
        </w:rPr>
        <w:t>Recommendation 1</w:t>
      </w:r>
    </w:p>
    <w:p w14:paraId="41CC883A" w14:textId="171BFAF3" w:rsidR="00194A3C" w:rsidRPr="000950CC" w:rsidRDefault="00194A3C" w:rsidP="00194A3C">
      <w:pPr>
        <w:spacing w:line="276" w:lineRule="auto"/>
        <w:ind w:left="709"/>
        <w:rPr>
          <w:b/>
          <w:bCs/>
          <w:i/>
          <w:lang w:val="en-CA"/>
        </w:rPr>
      </w:pPr>
      <w:r w:rsidRPr="00194A3C">
        <w:rPr>
          <w:b/>
          <w:bCs/>
          <w:lang w:val="en-CA"/>
        </w:rPr>
        <w:t xml:space="preserve">Acknowledging the additional risks and challenges faced by people with cognitive impairment during a public health emergency, the relevant state and territory department should ensure that accessible easy English guidelines to restrictions and explainers (as requested by the sector’s peak advocacy bodies) are made available as a priority. </w:t>
      </w:r>
    </w:p>
    <w:p w14:paraId="0AC07923" w14:textId="77777777" w:rsidR="00961484" w:rsidRDefault="00961484" w:rsidP="009E6497">
      <w:pPr>
        <w:spacing w:line="276" w:lineRule="auto"/>
        <w:ind w:left="709"/>
        <w:rPr>
          <w:bCs/>
          <w:lang w:val="en-CA"/>
        </w:rPr>
      </w:pPr>
    </w:p>
    <w:p w14:paraId="2776FAD8" w14:textId="25CED4A5" w:rsidR="009E6497" w:rsidRPr="009E6497" w:rsidRDefault="009E6497" w:rsidP="009E6497">
      <w:pPr>
        <w:spacing w:line="276" w:lineRule="auto"/>
        <w:ind w:left="709"/>
      </w:pPr>
      <w:r w:rsidRPr="009E6497">
        <w:rPr>
          <w:bCs/>
          <w:lang w:val="en-CA"/>
        </w:rPr>
        <w:lastRenderedPageBreak/>
        <w:t xml:space="preserve">As an example </w:t>
      </w:r>
      <w:r w:rsidR="004D1444">
        <w:rPr>
          <w:bCs/>
          <w:lang w:val="en-CA"/>
        </w:rPr>
        <w:t>of</w:t>
      </w:r>
      <w:r w:rsidRPr="009E6497">
        <w:rPr>
          <w:bCs/>
          <w:lang w:val="en-CA"/>
        </w:rPr>
        <w:t xml:space="preserve"> good practice, </w:t>
      </w:r>
      <w:r w:rsidRPr="009E6497">
        <w:t>OPA notes</w:t>
      </w:r>
      <w:r>
        <w:t xml:space="preserve"> here the </w:t>
      </w:r>
      <w:r w:rsidRPr="000420DF">
        <w:rPr>
          <w:i/>
        </w:rPr>
        <w:t>COVID-19 Planning Resource for People with Disability Australia</w:t>
      </w:r>
      <w:r>
        <w:t>, designed to help people with disability to get the facts about Coronavirus (COVID-19) and make a plan for how they will manage the impact of this situation.</w:t>
      </w:r>
      <w:r>
        <w:rPr>
          <w:rStyle w:val="FootnoteReference"/>
        </w:rPr>
        <w:footnoteReference w:id="10"/>
      </w:r>
      <w:r w:rsidR="0001620D">
        <w:t xml:space="preserve"> </w:t>
      </w:r>
    </w:p>
    <w:p w14:paraId="0D0CF93A" w14:textId="409236DD" w:rsidR="00D9296C" w:rsidRPr="00D9296C" w:rsidRDefault="00D9296C" w:rsidP="00E24BDE">
      <w:pPr>
        <w:spacing w:line="276" w:lineRule="auto"/>
        <w:ind w:left="709"/>
        <w:rPr>
          <w:b/>
          <w:bCs/>
        </w:rPr>
      </w:pPr>
      <w:r w:rsidRPr="00D9296C">
        <w:rPr>
          <w:b/>
          <w:bCs/>
        </w:rPr>
        <w:t>Chief Health Officer directions</w:t>
      </w:r>
    </w:p>
    <w:p w14:paraId="584843E6" w14:textId="54D7D8DD" w:rsidR="00C66ADD" w:rsidRDefault="00684510" w:rsidP="00C66ADD">
      <w:pPr>
        <w:spacing w:line="276" w:lineRule="auto"/>
        <w:ind w:left="709"/>
      </w:pPr>
      <w:r>
        <w:t xml:space="preserve">From OPA’s perspective, one of the </w:t>
      </w:r>
      <w:r w:rsidR="009254FA">
        <w:t>initial</w:t>
      </w:r>
      <w:r w:rsidR="00170CE8">
        <w:t>, yet significant,</w:t>
      </w:r>
      <w:r w:rsidR="00BB3B84">
        <w:t xml:space="preserve"> problems that arose </w:t>
      </w:r>
      <w:r w:rsidR="00830A64">
        <w:t xml:space="preserve">for </w:t>
      </w:r>
      <w:r w:rsidR="009017AC">
        <w:t xml:space="preserve">our </w:t>
      </w:r>
      <w:r w:rsidR="00830A64">
        <w:t>frontline staff</w:t>
      </w:r>
      <w:r w:rsidR="00A46E1B">
        <w:t xml:space="preserve"> (and </w:t>
      </w:r>
      <w:r w:rsidR="003939B2">
        <w:t>hence</w:t>
      </w:r>
      <w:r w:rsidR="00F65553">
        <w:t xml:space="preserve"> for people with disability)</w:t>
      </w:r>
      <w:r w:rsidR="00830A64">
        <w:t xml:space="preserve"> </w:t>
      </w:r>
      <w:r w:rsidR="006A7CB5">
        <w:t xml:space="preserve">stemmed from the ambiguity inherent in the Victorian Chief Health Officer’s </w:t>
      </w:r>
      <w:r w:rsidR="008F7430">
        <w:t xml:space="preserve">(CHO) </w:t>
      </w:r>
      <w:r w:rsidR="006A7CB5">
        <w:t>directions</w:t>
      </w:r>
      <w:r w:rsidR="009017AC">
        <w:t>.</w:t>
      </w:r>
      <w:r w:rsidR="00EF0375">
        <w:t xml:space="preserve"> This is notwithstanding resources published and updated regularly by the Victorian DHHS (as one example).</w:t>
      </w:r>
      <w:r w:rsidR="00EF0375">
        <w:rPr>
          <w:rStyle w:val="FootnoteReference"/>
        </w:rPr>
        <w:footnoteReference w:id="11"/>
      </w:r>
    </w:p>
    <w:p w14:paraId="63D3FBE6" w14:textId="2BC1A967" w:rsidR="00A125BD" w:rsidRDefault="001554A3" w:rsidP="00A84802">
      <w:pPr>
        <w:spacing w:line="276" w:lineRule="auto"/>
        <w:ind w:left="709"/>
      </w:pPr>
      <w:r>
        <w:t>T</w:t>
      </w:r>
      <w:r w:rsidR="005947B8">
        <w:t xml:space="preserve">he </w:t>
      </w:r>
      <w:r w:rsidR="00204F84">
        <w:t xml:space="preserve">CHO </w:t>
      </w:r>
      <w:r w:rsidR="005947B8">
        <w:t>directions</w:t>
      </w:r>
      <w:r w:rsidR="008A368C">
        <w:t xml:space="preserve">, effective from midnight on 21 </w:t>
      </w:r>
      <w:r w:rsidR="008A368C" w:rsidRPr="00DD5E13">
        <w:t>June 2020</w:t>
      </w:r>
      <w:r w:rsidR="002D3352" w:rsidRPr="00DD5E13">
        <w:t xml:space="preserve">, provided much greater clarity around who was considered a </w:t>
      </w:r>
      <w:r w:rsidR="005637B3" w:rsidRPr="00DD5E13">
        <w:t>‘</w:t>
      </w:r>
      <w:r w:rsidR="002D3352" w:rsidRPr="00DD5E13">
        <w:t>worker</w:t>
      </w:r>
      <w:r w:rsidR="005637B3" w:rsidRPr="00DD5E13">
        <w:t>’ and who was considered a ‘visitor’ to a congregate care facility</w:t>
      </w:r>
      <w:r w:rsidR="004C06E3" w:rsidRPr="00DD5E13">
        <w:t xml:space="preserve">, and </w:t>
      </w:r>
      <w:r w:rsidR="004B0BBE" w:rsidRPr="00DD5E13">
        <w:t>eased restrictions</w:t>
      </w:r>
      <w:r w:rsidR="004265EA" w:rsidRPr="00DD5E13">
        <w:rPr>
          <w:color w:val="FF0000"/>
        </w:rPr>
        <w:t xml:space="preserve"> </w:t>
      </w:r>
      <w:r w:rsidR="004265EA" w:rsidRPr="00DD5E13">
        <w:t xml:space="preserve">around </w:t>
      </w:r>
      <w:r w:rsidR="006E6FC0" w:rsidRPr="00DD5E13">
        <w:t>when one can leave their home</w:t>
      </w:r>
      <w:r w:rsidR="005C2000" w:rsidRPr="00DD5E13">
        <w:t>. The most recent directions, at time of writing, reimposed ‘</w:t>
      </w:r>
      <w:r w:rsidR="002D31C1" w:rsidRPr="00DD5E13">
        <w:t xml:space="preserve">a stage 3 </w:t>
      </w:r>
      <w:r w:rsidR="005C2000" w:rsidRPr="00DD5E13">
        <w:t>lockdown’</w:t>
      </w:r>
      <w:r w:rsidR="006E6FC0" w:rsidRPr="00DD5E13">
        <w:t xml:space="preserve"> </w:t>
      </w:r>
      <w:r w:rsidR="002D31C1" w:rsidRPr="00DD5E13">
        <w:t xml:space="preserve">arrangement </w:t>
      </w:r>
      <w:r w:rsidR="00CE1B3E" w:rsidRPr="00DD5E13">
        <w:t xml:space="preserve">in Greater Melbourne </w:t>
      </w:r>
      <w:r w:rsidR="002D31C1" w:rsidRPr="00DD5E13">
        <w:t xml:space="preserve">but maintained </w:t>
      </w:r>
      <w:r w:rsidR="009F22EA" w:rsidRPr="00DD5E13">
        <w:t xml:space="preserve">greater </w:t>
      </w:r>
      <w:r w:rsidR="002D31C1" w:rsidRPr="00DD5E13">
        <w:t xml:space="preserve">clarity </w:t>
      </w:r>
      <w:r w:rsidR="00CE1B3E" w:rsidRPr="00DD5E13">
        <w:t>about the</w:t>
      </w:r>
      <w:r w:rsidR="00D52A80" w:rsidRPr="00DD5E13">
        <w:t xml:space="preserve"> conditions </w:t>
      </w:r>
      <w:r w:rsidR="009F22EA" w:rsidRPr="00DD5E13">
        <w:t>that apply in</w:t>
      </w:r>
      <w:r w:rsidR="00D52A80" w:rsidRPr="00DD5E13">
        <w:t xml:space="preserve"> ‘care facilities’</w:t>
      </w:r>
      <w:r w:rsidR="00B257B9" w:rsidRPr="00DD5E13">
        <w:t xml:space="preserve"> and in private homes</w:t>
      </w:r>
      <w:r w:rsidR="00956CD0" w:rsidRPr="00DD5E13">
        <w:t>. However,</w:t>
      </w:r>
      <w:r w:rsidR="009F7FC9" w:rsidRPr="00DD5E13">
        <w:t xml:space="preserve"> </w:t>
      </w:r>
      <w:r w:rsidR="009D2470" w:rsidRPr="00DD5E13">
        <w:t xml:space="preserve">for almost three months there was ambiguity </w:t>
      </w:r>
      <w:r w:rsidR="00CE5C64" w:rsidRPr="00DD5E13">
        <w:t xml:space="preserve">in relation to how these directions should be applied to people with </w:t>
      </w:r>
      <w:r w:rsidR="00FA34D0" w:rsidRPr="00DD5E13">
        <w:t xml:space="preserve">cognitive impairment or who needed assistance with </w:t>
      </w:r>
      <w:r w:rsidR="00DD7DE2" w:rsidRPr="00DD5E13">
        <w:t>personal care tasks</w:t>
      </w:r>
      <w:r w:rsidR="00DD7DE2">
        <w:t>.</w:t>
      </w:r>
      <w:r w:rsidR="008B2428">
        <w:t xml:space="preserve"> </w:t>
      </w:r>
      <w:r w:rsidR="00A143CB" w:rsidRPr="00F45C89">
        <w:t xml:space="preserve">OPA </w:t>
      </w:r>
      <w:r w:rsidR="00937687" w:rsidRPr="00F45C89">
        <w:t xml:space="preserve">does note, however, </w:t>
      </w:r>
      <w:r w:rsidR="00A143CB" w:rsidRPr="00F45C89">
        <w:t>efforts from DHHS and National Disability Services</w:t>
      </w:r>
      <w:r w:rsidR="007A312B">
        <w:t xml:space="preserve"> </w:t>
      </w:r>
      <w:r w:rsidR="00A143CB" w:rsidRPr="00F45C89">
        <w:t>to explain the complexity of the legal directions.</w:t>
      </w:r>
      <w:r w:rsidR="00A143CB">
        <w:t xml:space="preserve"> </w:t>
      </w:r>
      <w:r w:rsidR="007A312B">
        <w:t xml:space="preserve">It does highlight the challenges bought by the rapid changes experienced and the limited time organisations had to comprehend and implement those changes.   </w:t>
      </w:r>
    </w:p>
    <w:p w14:paraId="2DFE3B3E" w14:textId="08A90411" w:rsidR="005D30B6" w:rsidRDefault="002A7FF7" w:rsidP="00A84802">
      <w:pPr>
        <w:spacing w:line="276" w:lineRule="auto"/>
        <w:ind w:left="709"/>
      </w:pPr>
      <w:r>
        <w:t xml:space="preserve">OPA’s awareness of this issue </w:t>
      </w:r>
      <w:r w:rsidR="004336EF">
        <w:t xml:space="preserve">came through our engagement with </w:t>
      </w:r>
      <w:r w:rsidR="00CB6CA7">
        <w:t xml:space="preserve">the lives of Represented Persons through </w:t>
      </w:r>
      <w:r w:rsidR="00532E1D">
        <w:t xml:space="preserve">our Advocate Guardian Program and through telephone calls to our </w:t>
      </w:r>
      <w:r w:rsidR="00332CA7">
        <w:t xml:space="preserve">public </w:t>
      </w:r>
      <w:r w:rsidR="00532E1D">
        <w:t>advice service</w:t>
      </w:r>
      <w:r w:rsidR="005467A2">
        <w:t xml:space="preserve">. </w:t>
      </w:r>
      <w:r w:rsidR="00637302">
        <w:t xml:space="preserve">OPA refers to the various problems that arose from these ambiguous </w:t>
      </w:r>
      <w:r w:rsidR="002671DD">
        <w:t>directions colloquially as ‘front door problems.</w:t>
      </w:r>
      <w:r w:rsidR="0076429E">
        <w:t>’</w:t>
      </w:r>
    </w:p>
    <w:p w14:paraId="718C69D1" w14:textId="58B47DD9" w:rsidR="003C09B8" w:rsidRDefault="00E73A9E" w:rsidP="00A84802">
      <w:pPr>
        <w:spacing w:line="276" w:lineRule="auto"/>
        <w:ind w:left="709"/>
      </w:pPr>
      <w:r>
        <w:t xml:space="preserve">‘Front door problems’ were </w:t>
      </w:r>
      <w:r w:rsidR="00381CBA">
        <w:t xml:space="preserve">the situations that occurred when congregate care facilities, including </w:t>
      </w:r>
      <w:r w:rsidR="00531DF4">
        <w:t>aged care facilities, disability residential services (including Specialist Disability Accommodation</w:t>
      </w:r>
      <w:r w:rsidR="00C00222">
        <w:t xml:space="preserve"> or SDA) and Supported Residential Services (SRS)</w:t>
      </w:r>
      <w:r w:rsidR="00AD583F">
        <w:t xml:space="preserve"> made changes to their usual practices around access to residents</w:t>
      </w:r>
      <w:r w:rsidR="00BD7A00">
        <w:t xml:space="preserve"> in response to the COVID-19 pandemic.</w:t>
      </w:r>
      <w:r w:rsidR="00D86F78">
        <w:rPr>
          <w:rStyle w:val="FootnoteReference"/>
        </w:rPr>
        <w:footnoteReference w:id="12"/>
      </w:r>
      <w:r w:rsidR="00737491">
        <w:t xml:space="preserve"> There were facilities that went into total lockdown</w:t>
      </w:r>
      <w:r w:rsidR="00085411">
        <w:t xml:space="preserve">, not allowing residents to leave the premises or people other than </w:t>
      </w:r>
      <w:r w:rsidR="009F2DAE">
        <w:t xml:space="preserve">facility </w:t>
      </w:r>
      <w:r w:rsidR="00085411">
        <w:t xml:space="preserve">staff to enter </w:t>
      </w:r>
      <w:r w:rsidR="009F2DAE">
        <w:t xml:space="preserve">the building. </w:t>
      </w:r>
      <w:r w:rsidR="00E70BCB">
        <w:t xml:space="preserve">While the Australian Government intervened </w:t>
      </w:r>
      <w:r w:rsidR="00356929">
        <w:t xml:space="preserve">in the case of </w:t>
      </w:r>
      <w:r w:rsidR="0095727C">
        <w:t>a</w:t>
      </w:r>
      <w:r w:rsidR="00356929">
        <w:t xml:space="preserve">ged </w:t>
      </w:r>
      <w:r w:rsidR="0095727C">
        <w:t>c</w:t>
      </w:r>
      <w:r w:rsidR="00356929">
        <w:t>are facil</w:t>
      </w:r>
      <w:r w:rsidR="0095727C">
        <w:t>it</w:t>
      </w:r>
      <w:r w:rsidR="00356929">
        <w:t>ies</w:t>
      </w:r>
      <w:r w:rsidR="0095727C">
        <w:t xml:space="preserve">, </w:t>
      </w:r>
      <w:r w:rsidR="00E3346D">
        <w:t xml:space="preserve">ensuring that relatives and friends could visit residents </w:t>
      </w:r>
      <w:r w:rsidR="00F73CDD">
        <w:t>where they met certain conditions</w:t>
      </w:r>
      <w:r w:rsidR="009F61D2">
        <w:t>, OPA staff report that some SRS</w:t>
      </w:r>
      <w:r w:rsidR="00356929">
        <w:t xml:space="preserve"> </w:t>
      </w:r>
      <w:r w:rsidR="009F61D2">
        <w:t xml:space="preserve">residents </w:t>
      </w:r>
      <w:r w:rsidR="009F61D2">
        <w:lastRenderedPageBreak/>
        <w:t>remain in lockdown.</w:t>
      </w:r>
      <w:r w:rsidR="00693A95">
        <w:t xml:space="preserve"> In one case, a person who </w:t>
      </w:r>
      <w:r w:rsidR="00974888">
        <w:t>left a disability residential service for a routine overnight family visit</w:t>
      </w:r>
      <w:r w:rsidR="008454BF">
        <w:t xml:space="preserve"> was not allowed back in and the family was forced to care for </w:t>
      </w:r>
      <w:r w:rsidR="00270A83">
        <w:t xml:space="preserve">them </w:t>
      </w:r>
      <w:r w:rsidR="00A33FCF">
        <w:t>in an ongoing capacity.</w:t>
      </w:r>
      <w:r w:rsidR="00F16384">
        <w:t xml:space="preserve"> </w:t>
      </w:r>
      <w:r w:rsidR="00914AE2">
        <w:t xml:space="preserve">OPA notes that </w:t>
      </w:r>
      <w:r w:rsidR="001115DD">
        <w:t xml:space="preserve">the </w:t>
      </w:r>
      <w:r w:rsidR="00E12AAF">
        <w:t xml:space="preserve">recent </w:t>
      </w:r>
      <w:r w:rsidR="00914AE2">
        <w:t xml:space="preserve">July </w:t>
      </w:r>
      <w:r w:rsidR="00E12AAF">
        <w:t xml:space="preserve">‘lockdown’ has resulted in </w:t>
      </w:r>
      <w:r w:rsidR="00914AE2">
        <w:t xml:space="preserve">similar responses from care facilities, </w:t>
      </w:r>
      <w:r w:rsidR="001115DD">
        <w:t xml:space="preserve">regardless </w:t>
      </w:r>
      <w:r w:rsidR="00914AE2">
        <w:t>of the clearer directions.</w:t>
      </w:r>
    </w:p>
    <w:p w14:paraId="3E654873" w14:textId="0DBE2635" w:rsidR="008F30A5" w:rsidRDefault="00B325A3" w:rsidP="00A84802">
      <w:pPr>
        <w:spacing w:line="276" w:lineRule="auto"/>
        <w:ind w:left="709"/>
      </w:pPr>
      <w:r>
        <w:t xml:space="preserve">‘Front door problems’ also included </w:t>
      </w:r>
      <w:r w:rsidR="00241558">
        <w:t xml:space="preserve">significant to total limitations on access to residents by service providers who were </w:t>
      </w:r>
      <w:r w:rsidR="00DE6EA3">
        <w:t>not employed by the residential facility. For example,</w:t>
      </w:r>
      <w:r w:rsidR="0019617E">
        <w:t xml:space="preserve"> </w:t>
      </w:r>
      <w:r w:rsidR="00502B04">
        <w:t xml:space="preserve">residents in </w:t>
      </w:r>
      <w:r w:rsidR="001D66CA">
        <w:t xml:space="preserve">aged care, </w:t>
      </w:r>
      <w:r w:rsidR="00502B04">
        <w:t>SRS</w:t>
      </w:r>
      <w:r w:rsidR="001D66CA">
        <w:t>s</w:t>
      </w:r>
      <w:r w:rsidR="00502B04">
        <w:t xml:space="preserve"> and some disability residential services have not been able to continue with their usual </w:t>
      </w:r>
      <w:r w:rsidR="00DB461D">
        <w:t>NDIS funded support workers and activities.</w:t>
      </w:r>
      <w:r w:rsidR="00E86DF1">
        <w:t xml:space="preserve"> </w:t>
      </w:r>
      <w:r w:rsidR="00531002">
        <w:t xml:space="preserve">Practice has been variable and dependent on </w:t>
      </w:r>
      <w:r w:rsidR="00F9561D">
        <w:t xml:space="preserve">decisions made by organisations </w:t>
      </w:r>
      <w:r w:rsidR="006E58D7">
        <w:t xml:space="preserve">managing individual facilities </w:t>
      </w:r>
      <w:r w:rsidR="00F9561D">
        <w:t xml:space="preserve">and </w:t>
      </w:r>
      <w:r w:rsidR="006E58D7">
        <w:t xml:space="preserve">SRS </w:t>
      </w:r>
      <w:r w:rsidR="00F9561D">
        <w:t>proprietors</w:t>
      </w:r>
      <w:r w:rsidR="006E58D7">
        <w:t>.</w:t>
      </w:r>
    </w:p>
    <w:p w14:paraId="0F3BB2FC" w14:textId="125F470E" w:rsidR="00323610" w:rsidRDefault="00B02EDA" w:rsidP="00A84802">
      <w:pPr>
        <w:spacing w:line="276" w:lineRule="auto"/>
        <w:ind w:left="709"/>
      </w:pPr>
      <w:r>
        <w:t xml:space="preserve">The impact of </w:t>
      </w:r>
      <w:r w:rsidR="006D7EEC">
        <w:t>‘</w:t>
      </w:r>
      <w:r>
        <w:t>f</w:t>
      </w:r>
      <w:r w:rsidR="006D7EEC">
        <w:t xml:space="preserve">ront door problems’ </w:t>
      </w:r>
      <w:r>
        <w:t xml:space="preserve">has </w:t>
      </w:r>
      <w:r w:rsidR="00AE6AB6">
        <w:t>included</w:t>
      </w:r>
      <w:r>
        <w:t xml:space="preserve"> instances of </w:t>
      </w:r>
      <w:r w:rsidR="00AE6AB6" w:rsidRPr="00825A46">
        <w:t xml:space="preserve">(arguably) </w:t>
      </w:r>
      <w:r w:rsidRPr="00825A46">
        <w:t>unlawful</w:t>
      </w:r>
      <w:r w:rsidR="00D02702" w:rsidRPr="00825A46">
        <w:t xml:space="preserve"> </w:t>
      </w:r>
      <w:r w:rsidRPr="00825A46">
        <w:t>restrictive practice</w:t>
      </w:r>
      <w:r w:rsidR="00AE6AB6" w:rsidRPr="00825A46">
        <w:t>s</w:t>
      </w:r>
      <w:r w:rsidR="00AE6AB6">
        <w:t>, coercion</w:t>
      </w:r>
      <w:r w:rsidR="00AE02CF">
        <w:t xml:space="preserve"> in relation to choices about service provider</w:t>
      </w:r>
      <w:r w:rsidR="009606D0">
        <w:t>s</w:t>
      </w:r>
      <w:r w:rsidR="00AE02CF">
        <w:t xml:space="preserve"> and</w:t>
      </w:r>
      <w:r w:rsidR="00D94587">
        <w:t xml:space="preserve"> freedom of movement,</w:t>
      </w:r>
      <w:r w:rsidR="0083072F">
        <w:t xml:space="preserve"> </w:t>
      </w:r>
      <w:r w:rsidR="007056EE">
        <w:t xml:space="preserve">and </w:t>
      </w:r>
      <w:r w:rsidR="0083072F">
        <w:t xml:space="preserve">increased opportunities for </w:t>
      </w:r>
      <w:r w:rsidR="001108C1">
        <w:t xml:space="preserve">unreported </w:t>
      </w:r>
      <w:r w:rsidR="0083072F">
        <w:t>abuse and neglect due to lack of access by independent informal and formal safeguarding mechanisms.</w:t>
      </w:r>
    </w:p>
    <w:p w14:paraId="52CB3887" w14:textId="20B3279E" w:rsidR="00323610" w:rsidRDefault="00602FAF" w:rsidP="00A84802">
      <w:pPr>
        <w:spacing w:line="276" w:lineRule="auto"/>
        <w:ind w:left="709"/>
      </w:pPr>
      <w:r>
        <w:t xml:space="preserve">OPA </w:t>
      </w:r>
      <w:r w:rsidR="00D55E77">
        <w:t>held concerns very early on, following the release of the first CHO directions</w:t>
      </w:r>
      <w:r w:rsidR="0042001F">
        <w:t>, about how they should be interpreted with regard to the lives of people with cognitive impairment</w:t>
      </w:r>
      <w:r w:rsidR="00D06951">
        <w:t>.</w:t>
      </w:r>
      <w:r w:rsidR="009E3A34">
        <w:t xml:space="preserve"> </w:t>
      </w:r>
      <w:r w:rsidR="00D06951">
        <w:t>OPA was particularl</w:t>
      </w:r>
      <w:r w:rsidR="000C2C67">
        <w:t xml:space="preserve">y interested </w:t>
      </w:r>
      <w:r w:rsidR="009E3A34">
        <w:t xml:space="preserve">in </w:t>
      </w:r>
      <w:r w:rsidR="00316CD6">
        <w:t xml:space="preserve">consent issues </w:t>
      </w:r>
      <w:r w:rsidR="00352B0C">
        <w:t xml:space="preserve">around </w:t>
      </w:r>
      <w:r w:rsidR="000C2C67">
        <w:t>COVID-19</w:t>
      </w:r>
      <w:r w:rsidR="009E3A34">
        <w:t xml:space="preserve"> testing and </w:t>
      </w:r>
      <w:r w:rsidR="00352B0C">
        <w:t xml:space="preserve">isolation </w:t>
      </w:r>
      <w:r w:rsidR="005E79C7">
        <w:t>practices people w</w:t>
      </w:r>
      <w:r w:rsidR="009E3A34">
        <w:t>ho did not have the capacity to understand</w:t>
      </w:r>
      <w:r w:rsidR="0011057B">
        <w:t xml:space="preserve"> </w:t>
      </w:r>
      <w:r w:rsidR="00C50A1D">
        <w:t>what was being asked of them nor to</w:t>
      </w:r>
      <w:r w:rsidR="0011057B">
        <w:t xml:space="preserve"> </w:t>
      </w:r>
      <w:r w:rsidR="007B092A">
        <w:t>consent</w:t>
      </w:r>
      <w:r w:rsidR="0011057B">
        <w:t>.</w:t>
      </w:r>
    </w:p>
    <w:p w14:paraId="1D1610F0" w14:textId="0D4F2DDF" w:rsidR="00401DEB" w:rsidRDefault="00401DEB" w:rsidP="00A84802">
      <w:pPr>
        <w:spacing w:line="276" w:lineRule="auto"/>
        <w:ind w:left="709"/>
      </w:pPr>
      <w:r>
        <w:t xml:space="preserve">In our work on these topics OPA </w:t>
      </w:r>
      <w:r w:rsidR="00B40B14">
        <w:t>developed guidance for our staff</w:t>
      </w:r>
      <w:r w:rsidR="004E05EB">
        <w:t>, including guardians</w:t>
      </w:r>
      <w:r w:rsidR="00800AED">
        <w:t>, the</w:t>
      </w:r>
      <w:r w:rsidR="004E05EB">
        <w:t xml:space="preserve"> Medical Treatment Decisions team</w:t>
      </w:r>
      <w:r w:rsidR="00800AED">
        <w:t xml:space="preserve"> and the advice service</w:t>
      </w:r>
      <w:r w:rsidR="006860E0">
        <w:t>, on who has the right to consent for COVID-19 testing</w:t>
      </w:r>
      <w:r w:rsidR="00451182">
        <w:t xml:space="preserve">. </w:t>
      </w:r>
      <w:r w:rsidR="000F239B">
        <w:t xml:space="preserve">OPA also </w:t>
      </w:r>
      <w:r w:rsidR="00DE289C">
        <w:t xml:space="preserve">wrote to the </w:t>
      </w:r>
      <w:r w:rsidR="001554A3">
        <w:t>CHO</w:t>
      </w:r>
      <w:r w:rsidR="00DE289C">
        <w:t xml:space="preserve"> for advice on these matters</w:t>
      </w:r>
      <w:r w:rsidR="00460972">
        <w:t xml:space="preserve">. </w:t>
      </w:r>
      <w:r w:rsidR="00CD212F">
        <w:t xml:space="preserve">For a period, </w:t>
      </w:r>
      <w:r w:rsidR="00834383">
        <w:t xml:space="preserve">OPA’s legal team was unable to provide </w:t>
      </w:r>
      <w:r w:rsidR="002A4470">
        <w:t xml:space="preserve">advice to frontline staff on whether or not </w:t>
      </w:r>
      <w:r w:rsidR="00A54FCF">
        <w:t>the ‘front door’ practices impacting the</w:t>
      </w:r>
      <w:r w:rsidR="00276AE3">
        <w:t xml:space="preserve"> people they advocated for </w:t>
      </w:r>
      <w:r w:rsidR="005C4665">
        <w:t xml:space="preserve">were </w:t>
      </w:r>
      <w:r w:rsidR="00A67482">
        <w:t>aligned with these directions or</w:t>
      </w:r>
      <w:r w:rsidR="00F35694">
        <w:t xml:space="preserve"> were excessive.</w:t>
      </w:r>
    </w:p>
    <w:p w14:paraId="1864F8D1" w14:textId="1CBBE010" w:rsidR="00E71E3E" w:rsidRDefault="00911DBD" w:rsidP="00A84802">
      <w:pPr>
        <w:spacing w:line="276" w:lineRule="auto"/>
        <w:ind w:left="709"/>
      </w:pPr>
      <w:r>
        <w:t>Th</w:t>
      </w:r>
      <w:r w:rsidR="000C4553">
        <w:t>e</w:t>
      </w:r>
      <w:r w:rsidR="00A4700A">
        <w:t xml:space="preserve"> implications</w:t>
      </w:r>
      <w:r w:rsidR="007A527E">
        <w:t xml:space="preserve"> </w:t>
      </w:r>
      <w:r w:rsidR="007536C9">
        <w:t xml:space="preserve">of this legal ambiguity </w:t>
      </w:r>
      <w:r w:rsidR="007A527E">
        <w:t xml:space="preserve">for the advocacy efforts of OPA staff were </w:t>
      </w:r>
      <w:r w:rsidR="007536C9">
        <w:t>clear</w:t>
      </w:r>
      <w:r w:rsidR="00E21C54">
        <w:t xml:space="preserve">, and </w:t>
      </w:r>
      <w:r w:rsidR="005F2D3D">
        <w:t>it is likely that</w:t>
      </w:r>
      <w:r w:rsidR="00E21C54">
        <w:t xml:space="preserve"> this </w:t>
      </w:r>
      <w:r w:rsidR="009E54F0">
        <w:t>would have affected other disability advocates and self-advocates in similar ways</w:t>
      </w:r>
      <w:r w:rsidR="00730D24">
        <w:t>.</w:t>
      </w:r>
      <w:r w:rsidR="006C6A0B">
        <w:t xml:space="preserve"> </w:t>
      </w:r>
      <w:r w:rsidR="005053BD">
        <w:t xml:space="preserve">OPA guardians </w:t>
      </w:r>
      <w:r w:rsidR="00AC00B4">
        <w:t xml:space="preserve">reported </w:t>
      </w:r>
      <w:r w:rsidR="00216714">
        <w:t xml:space="preserve">various attempts to </w:t>
      </w:r>
      <w:r w:rsidR="00B044AE">
        <w:t>advocate for their clients (</w:t>
      </w:r>
      <w:r w:rsidR="004379CE">
        <w:t>‘</w:t>
      </w:r>
      <w:r w:rsidR="00B044AE">
        <w:t>represented persons</w:t>
      </w:r>
      <w:r w:rsidR="004379CE">
        <w:t>’</w:t>
      </w:r>
      <w:r w:rsidR="00B044AE">
        <w:t xml:space="preserve"> under Victoria’s Guardianship and Administration Act)</w:t>
      </w:r>
      <w:r w:rsidR="00D722FA">
        <w:t>:</w:t>
      </w:r>
      <w:r w:rsidR="004379CE">
        <w:t xml:space="preserve"> to </w:t>
      </w:r>
      <w:r w:rsidR="0065458F">
        <w:t xml:space="preserve">promote access to allied health services or </w:t>
      </w:r>
      <w:r w:rsidR="00D722FA">
        <w:t xml:space="preserve">functional </w:t>
      </w:r>
      <w:r w:rsidR="0065458F">
        <w:t>assessments to further their NDIS plan reviews</w:t>
      </w:r>
      <w:r w:rsidR="001E0B6B">
        <w:t xml:space="preserve"> and</w:t>
      </w:r>
      <w:r w:rsidR="00D722FA">
        <w:t xml:space="preserve"> to </w:t>
      </w:r>
      <w:r w:rsidR="0084579D">
        <w:t>re-establish long-standing pre-COVID family access arrangements</w:t>
      </w:r>
      <w:r w:rsidR="00EF3DE1">
        <w:t xml:space="preserve">. </w:t>
      </w:r>
      <w:r w:rsidR="00AD6946">
        <w:t xml:space="preserve">During this period </w:t>
      </w:r>
      <w:r w:rsidR="00EF3DE1">
        <w:t xml:space="preserve">OPA’s Disability Act Officers </w:t>
      </w:r>
      <w:r w:rsidR="00DD02BD">
        <w:t xml:space="preserve">advocated </w:t>
      </w:r>
      <w:r w:rsidR="00AD6946">
        <w:t xml:space="preserve">for people </w:t>
      </w:r>
      <w:r w:rsidR="00EF13B6">
        <w:t>at Supe</w:t>
      </w:r>
      <w:r w:rsidR="001D7449">
        <w:t>r</w:t>
      </w:r>
      <w:r w:rsidR="00EF13B6">
        <w:t>vised</w:t>
      </w:r>
      <w:r w:rsidR="00AD6946">
        <w:t xml:space="preserve"> </w:t>
      </w:r>
      <w:r w:rsidR="001D7449">
        <w:t xml:space="preserve">Treatment Order </w:t>
      </w:r>
      <w:r w:rsidR="004F554C">
        <w:t xml:space="preserve">(STO) </w:t>
      </w:r>
      <w:r w:rsidR="001D7449">
        <w:t>review</w:t>
      </w:r>
      <w:r w:rsidR="009E702C">
        <w:t xml:space="preserve"> hearings, and reported concerns with the </w:t>
      </w:r>
      <w:r w:rsidR="009220AA">
        <w:t xml:space="preserve">levels of restrictions that people were being subjected to </w:t>
      </w:r>
      <w:r w:rsidR="00670024">
        <w:t>purportedly due</w:t>
      </w:r>
      <w:r w:rsidR="009220AA">
        <w:t xml:space="preserve"> COVID-19</w:t>
      </w:r>
      <w:r w:rsidR="00670024">
        <w:t xml:space="preserve"> concerns</w:t>
      </w:r>
      <w:r w:rsidR="009D0588">
        <w:t>. They</w:t>
      </w:r>
      <w:r w:rsidR="008860FD">
        <w:t xml:space="preserve"> also reported that in some matters a lack of progress</w:t>
      </w:r>
      <w:r w:rsidR="004C5A00">
        <w:t xml:space="preserve"> on issues like a broken pair of glasses from December</w:t>
      </w:r>
      <w:r w:rsidR="004550D4">
        <w:t xml:space="preserve"> 2019 were </w:t>
      </w:r>
      <w:r w:rsidR="00563BAE">
        <w:t>being attributed to COVID-19 community responses.</w:t>
      </w:r>
      <w:r w:rsidR="00886C8A">
        <w:t xml:space="preserve"> </w:t>
      </w:r>
      <w:r w:rsidR="004F554C">
        <w:t xml:space="preserve">Like other people with disability, people on STOs </w:t>
      </w:r>
      <w:r w:rsidR="00FC5048">
        <w:t xml:space="preserve">were </w:t>
      </w:r>
      <w:r w:rsidR="00810CE4">
        <w:t>reportedly</w:t>
      </w:r>
      <w:r w:rsidR="00FC5048">
        <w:t xml:space="preserve"> denied access to sp</w:t>
      </w:r>
      <w:r w:rsidR="001C6480">
        <w:t>e</w:t>
      </w:r>
      <w:r w:rsidR="00FC5048">
        <w:t>cialists</w:t>
      </w:r>
      <w:r w:rsidR="001C6480">
        <w:t xml:space="preserve"> like behaviour support practitioners and psychiatrists</w:t>
      </w:r>
      <w:r w:rsidR="00810CE4">
        <w:t xml:space="preserve"> during</w:t>
      </w:r>
      <w:r w:rsidR="00D34F7F">
        <w:t xml:space="preserve"> this time</w:t>
      </w:r>
      <w:r w:rsidR="001C6480">
        <w:t>.</w:t>
      </w:r>
      <w:r w:rsidR="00EB13F4">
        <w:t xml:space="preserve"> </w:t>
      </w:r>
      <w:r w:rsidR="00A967BB">
        <w:t xml:space="preserve">The Community Visitors program </w:t>
      </w:r>
      <w:r w:rsidR="00DB719E">
        <w:t xml:space="preserve">received referrals from the community through OPA advice service, which they investigated </w:t>
      </w:r>
      <w:r w:rsidR="00F12A8C">
        <w:t>(</w:t>
      </w:r>
      <w:r w:rsidR="00670024">
        <w:t>remotely</w:t>
      </w:r>
      <w:r w:rsidR="00F12A8C">
        <w:t xml:space="preserve">) </w:t>
      </w:r>
      <w:r w:rsidR="00DB719E">
        <w:t xml:space="preserve">and </w:t>
      </w:r>
      <w:r w:rsidR="00F12A8C">
        <w:t>escalated through the usual channels</w:t>
      </w:r>
      <w:r w:rsidR="00366782">
        <w:t>.</w:t>
      </w:r>
    </w:p>
    <w:p w14:paraId="18771F08" w14:textId="20899E6C" w:rsidR="0058586A" w:rsidRDefault="00E71E3E" w:rsidP="00A84802">
      <w:pPr>
        <w:spacing w:line="276" w:lineRule="auto"/>
        <w:ind w:left="709"/>
      </w:pPr>
      <w:r>
        <w:t>In all of these matters, the central questions were</w:t>
      </w:r>
      <w:r w:rsidR="00E13367">
        <w:t xml:space="preserve"> the same</w:t>
      </w:r>
      <w:r w:rsidR="001B0F20">
        <w:t>:</w:t>
      </w:r>
      <w:r w:rsidR="00E13367">
        <w:t xml:space="preserve"> were the organisational decisions</w:t>
      </w:r>
      <w:r w:rsidR="00DB719E">
        <w:t xml:space="preserve"> </w:t>
      </w:r>
      <w:r w:rsidR="005F065A">
        <w:t xml:space="preserve">about COVID-19 related </w:t>
      </w:r>
      <w:r w:rsidR="00116664">
        <w:t>changes to business as usual proportionate</w:t>
      </w:r>
      <w:r w:rsidR="00EF1725">
        <w:t xml:space="preserve"> to the risks involved</w:t>
      </w:r>
      <w:r w:rsidR="00C55714">
        <w:t xml:space="preserve">, could we get better outcomes for clients by challenging these </w:t>
      </w:r>
      <w:r w:rsidR="00091090" w:rsidRPr="00825A46">
        <w:t xml:space="preserve">decisions, </w:t>
      </w:r>
      <w:r w:rsidR="00091090" w:rsidRPr="00B20383">
        <w:t>and, in some cases, did</w:t>
      </w:r>
      <w:r w:rsidR="00184DB2" w:rsidRPr="00740478">
        <w:t xml:space="preserve"> (and do)</w:t>
      </w:r>
      <w:r w:rsidR="00091090" w:rsidRPr="00740478">
        <w:t xml:space="preserve"> these new practices entail unlawful restrictive practices?</w:t>
      </w:r>
    </w:p>
    <w:p w14:paraId="58B70F10" w14:textId="6838B60E" w:rsidR="00E257B8" w:rsidRPr="00740478" w:rsidRDefault="00030024" w:rsidP="00A84802">
      <w:pPr>
        <w:spacing w:line="276" w:lineRule="auto"/>
        <w:ind w:left="709"/>
      </w:pPr>
      <w:r>
        <w:lastRenderedPageBreak/>
        <w:t>The question of whether</w:t>
      </w:r>
      <w:r w:rsidR="009E2760">
        <w:t xml:space="preserve"> residential services</w:t>
      </w:r>
      <w:r w:rsidR="004B43CB">
        <w:t xml:space="preserve"> </w:t>
      </w:r>
      <w:r w:rsidR="00243348">
        <w:t>have been</w:t>
      </w:r>
      <w:r w:rsidR="004B43CB">
        <w:t xml:space="preserve"> overstepping their legal right to limit residents’ freedom of movement</w:t>
      </w:r>
      <w:r w:rsidR="00243348">
        <w:t xml:space="preserve"> </w:t>
      </w:r>
      <w:r w:rsidR="00FC0027">
        <w:t xml:space="preserve">has not been resolved, although greater clarity on </w:t>
      </w:r>
      <w:r w:rsidR="00825059">
        <w:t xml:space="preserve">worker access </w:t>
      </w:r>
      <w:r w:rsidR="00527E0F">
        <w:t xml:space="preserve">to facilities </w:t>
      </w:r>
      <w:r w:rsidR="00825059">
        <w:t xml:space="preserve">will no doubt </w:t>
      </w:r>
      <w:r w:rsidR="00527E0F">
        <w:t xml:space="preserve">benefit many </w:t>
      </w:r>
      <w:r w:rsidR="008459C8">
        <w:t>people</w:t>
      </w:r>
      <w:r w:rsidR="001725D0">
        <w:t>.</w:t>
      </w:r>
      <w:r w:rsidR="007E31E3">
        <w:t xml:space="preserve"> For advocates</w:t>
      </w:r>
      <w:r w:rsidR="00300877">
        <w:t xml:space="preserve">, a lack of legal clarity can leave them </w:t>
      </w:r>
      <w:r w:rsidR="002C4884">
        <w:t xml:space="preserve">and their clients </w:t>
      </w:r>
      <w:r w:rsidR="00300877">
        <w:t xml:space="preserve">without a </w:t>
      </w:r>
      <w:r w:rsidR="00D86BD9">
        <w:t xml:space="preserve">confident </w:t>
      </w:r>
      <w:r w:rsidR="00300877" w:rsidRPr="00740478">
        <w:t>way forward</w:t>
      </w:r>
      <w:r w:rsidR="00B13783" w:rsidRPr="00740478">
        <w:t xml:space="preserve"> when they are not satisfied with the organisational response</w:t>
      </w:r>
      <w:r w:rsidR="002C4884" w:rsidRPr="00740478">
        <w:t>.</w:t>
      </w:r>
    </w:p>
    <w:p w14:paraId="47D15937" w14:textId="09EA8284" w:rsidR="00B2111A" w:rsidRDefault="003E053B" w:rsidP="00A84802">
      <w:pPr>
        <w:spacing w:line="276" w:lineRule="auto"/>
        <w:ind w:left="709"/>
      </w:pPr>
      <w:r w:rsidRPr="00740478">
        <w:t xml:space="preserve">Of course, </w:t>
      </w:r>
      <w:r w:rsidR="00840027" w:rsidRPr="00740478">
        <w:t>different</w:t>
      </w:r>
      <w:r w:rsidR="00CE3A62" w:rsidRPr="00740478">
        <w:t xml:space="preserve"> </w:t>
      </w:r>
      <w:r w:rsidR="00EE4C04" w:rsidRPr="00740478">
        <w:t xml:space="preserve">legal and regulatory frameworks govern the three main congregate care settings OPA </w:t>
      </w:r>
      <w:r w:rsidR="00240B30" w:rsidRPr="00DD5E13">
        <w:t xml:space="preserve">engages with. Of note is the advice provided by the NDIS </w:t>
      </w:r>
      <w:r w:rsidR="00682DBE" w:rsidRPr="00DD5E13">
        <w:t>Quality and Safety Commiss</w:t>
      </w:r>
      <w:r w:rsidR="00682DBE" w:rsidRPr="00B60664">
        <w:t>ion</w:t>
      </w:r>
      <w:r w:rsidR="009D7F56">
        <w:t xml:space="preserve"> (NDIS Commission)</w:t>
      </w:r>
      <w:r w:rsidR="00682DBE" w:rsidRPr="00B60664">
        <w:t xml:space="preserve"> </w:t>
      </w:r>
      <w:r w:rsidR="00240B30" w:rsidRPr="00F403C1">
        <w:t>in March</w:t>
      </w:r>
      <w:r w:rsidR="00782B9F" w:rsidRPr="003F35AC">
        <w:t>, stating</w:t>
      </w:r>
      <w:r w:rsidR="00782B9F">
        <w:t>:</w:t>
      </w:r>
      <w:r w:rsidR="00B52160">
        <w:t xml:space="preserve"> ‘</w:t>
      </w:r>
      <w:r w:rsidR="00B2111A" w:rsidRPr="00B2111A">
        <w:t xml:space="preserve">It is not a regulated </w:t>
      </w:r>
      <w:r w:rsidR="00782B9F">
        <w:t xml:space="preserve">[and therefore reportable] </w:t>
      </w:r>
      <w:r w:rsidR="00B2111A" w:rsidRPr="00B2111A">
        <w:t>restrictive practice if there is a self-isolation order or any other direction to the community as a whole that is issued by the Australian Government Chief Medical Officer or as directed by state and territory Chief Health Officers</w:t>
      </w:r>
      <w:r w:rsidR="00B52160">
        <w:t>.’</w:t>
      </w:r>
      <w:r w:rsidR="003E7194">
        <w:t xml:space="preserve"> </w:t>
      </w:r>
      <w:r w:rsidR="00D60D49">
        <w:t>The NDIS Commission also stated that if a provider ‘isolates an NDIS participant because you are concerned about their health but there is no directive from a medical practitioner that i</w:t>
      </w:r>
      <w:r w:rsidR="000E060B">
        <w:t>s</w:t>
      </w:r>
      <w:r w:rsidR="00D60D49">
        <w:t xml:space="preserve"> in line with the Commonwealth Chief Medical Officer’s advice, then this could be a regulated restrictive practice’. </w:t>
      </w:r>
      <w:r w:rsidR="003E7194">
        <w:t>This difference, and it</w:t>
      </w:r>
      <w:r w:rsidR="002E4006">
        <w:t xml:space="preserve">s implication for emergency planning and responses, </w:t>
      </w:r>
      <w:r w:rsidR="003E7194">
        <w:t xml:space="preserve">will be discussed in more detail in </w:t>
      </w:r>
      <w:r w:rsidR="003E7194" w:rsidRPr="009C5A08">
        <w:t>a later section</w:t>
      </w:r>
      <w:r w:rsidR="003E7194">
        <w:t>.</w:t>
      </w:r>
    </w:p>
    <w:p w14:paraId="7F102F14" w14:textId="4D5AFA53" w:rsidR="000566AB" w:rsidRDefault="00F331A8" w:rsidP="00A84802">
      <w:pPr>
        <w:spacing w:line="276" w:lineRule="auto"/>
        <w:ind w:left="709"/>
      </w:pPr>
      <w:r>
        <w:t>OPA observed instances where</w:t>
      </w:r>
      <w:r w:rsidR="0066331C">
        <w:t xml:space="preserve"> the </w:t>
      </w:r>
      <w:r w:rsidR="00F53E4C">
        <w:t>C</w:t>
      </w:r>
      <w:r w:rsidR="000E060B">
        <w:t>HO</w:t>
      </w:r>
      <w:r w:rsidR="00F53E4C">
        <w:t>’s S</w:t>
      </w:r>
      <w:r w:rsidR="0066331C">
        <w:t xml:space="preserve">tay at </w:t>
      </w:r>
      <w:r w:rsidR="00F53E4C">
        <w:t>H</w:t>
      </w:r>
      <w:r w:rsidR="0066331C">
        <w:t xml:space="preserve">ome </w:t>
      </w:r>
      <w:r w:rsidR="00F53E4C">
        <w:t>directions</w:t>
      </w:r>
      <w:r w:rsidR="00A06F4D">
        <w:t xml:space="preserve"> </w:t>
      </w:r>
      <w:r w:rsidR="0077784E">
        <w:t xml:space="preserve">resulted in greater restrictions on mobility </w:t>
      </w:r>
      <w:r w:rsidR="00D431EE">
        <w:t>for people in residential services than</w:t>
      </w:r>
      <w:r w:rsidR="00E953CE">
        <w:t xml:space="preserve"> </w:t>
      </w:r>
      <w:r w:rsidR="00F65DF8">
        <w:t>they did for people in the broader community.</w:t>
      </w:r>
      <w:r w:rsidR="001B2C43">
        <w:t xml:space="preserve"> Even people with disability who did not live in residential care were </w:t>
      </w:r>
      <w:r w:rsidR="00FF2F0E">
        <w:t>impacted in multiple ways as services they previously relied on were suspended or went online.</w:t>
      </w:r>
    </w:p>
    <w:p w14:paraId="193960B6" w14:textId="77777777" w:rsidR="00AF641D" w:rsidRPr="00194A3C" w:rsidRDefault="00AF641D" w:rsidP="00AF641D">
      <w:pPr>
        <w:spacing w:line="276" w:lineRule="auto"/>
        <w:ind w:left="709"/>
        <w:rPr>
          <w:b/>
          <w:bCs/>
          <w:lang w:val="en-CA"/>
        </w:rPr>
      </w:pPr>
      <w:r w:rsidRPr="00194A3C">
        <w:rPr>
          <w:b/>
          <w:bCs/>
          <w:lang w:val="en-CA"/>
        </w:rPr>
        <w:t>Recommendation 2</w:t>
      </w:r>
    </w:p>
    <w:p w14:paraId="493FDB77" w14:textId="36423398" w:rsidR="00AF641D" w:rsidRPr="00194A3C" w:rsidRDefault="00AF641D" w:rsidP="00AF641D">
      <w:pPr>
        <w:spacing w:line="276" w:lineRule="auto"/>
        <w:ind w:left="709"/>
        <w:rPr>
          <w:b/>
          <w:bCs/>
          <w:lang w:val="en-CA"/>
        </w:rPr>
      </w:pPr>
      <w:r w:rsidRPr="00194A3C">
        <w:rPr>
          <w:b/>
          <w:bCs/>
          <w:lang w:val="en-CA"/>
        </w:rPr>
        <w:t xml:space="preserve">Acknowledging the additional risks and challenges faced by people with disability during a public health emergency, Chief Health Officers should seek advice from key disability advocacy groups and the Office of the Public Advocate (or its jurisdictional equivalent) to enable all legally binding directions to be clearly articulated in a way that </w:t>
      </w:r>
      <w:r w:rsidR="002C6D4A">
        <w:rPr>
          <w:b/>
          <w:bCs/>
          <w:lang w:val="en-CA"/>
        </w:rPr>
        <w:t>facilitates</w:t>
      </w:r>
      <w:r w:rsidR="002C6D4A" w:rsidRPr="00194A3C">
        <w:rPr>
          <w:b/>
          <w:bCs/>
          <w:lang w:val="en-CA"/>
        </w:rPr>
        <w:t xml:space="preserve"> </w:t>
      </w:r>
      <w:r w:rsidRPr="00194A3C">
        <w:rPr>
          <w:b/>
          <w:bCs/>
          <w:lang w:val="en-CA"/>
        </w:rPr>
        <w:t>compliance by people with disability.</w:t>
      </w:r>
    </w:p>
    <w:p w14:paraId="32D25C32" w14:textId="7596CF03" w:rsidR="006C28D3" w:rsidRDefault="00C356AF" w:rsidP="006C28D3">
      <w:pPr>
        <w:pStyle w:val="Heading2OPA"/>
        <w:numPr>
          <w:ilvl w:val="1"/>
          <w:numId w:val="16"/>
        </w:numPr>
        <w:ind w:left="709" w:hanging="709"/>
      </w:pPr>
      <w:bookmarkStart w:id="13" w:name="_Toc46949130"/>
      <w:r>
        <w:t xml:space="preserve">Providers dictate </w:t>
      </w:r>
      <w:r w:rsidR="00950838">
        <w:t>options</w:t>
      </w:r>
      <w:bookmarkEnd w:id="13"/>
      <w:r w:rsidR="001D1652">
        <w:t xml:space="preserve"> </w:t>
      </w:r>
    </w:p>
    <w:p w14:paraId="6C5C9847" w14:textId="7C395C4C" w:rsidR="00CB78FE" w:rsidRDefault="00FE5B72" w:rsidP="00A84802">
      <w:pPr>
        <w:spacing w:line="276" w:lineRule="auto"/>
        <w:ind w:left="709"/>
      </w:pPr>
      <w:r>
        <w:t>The power of organisation</w:t>
      </w:r>
      <w:r w:rsidR="006C28D3">
        <w:t>al policy</w:t>
      </w:r>
      <w:r>
        <w:t xml:space="preserve"> </w:t>
      </w:r>
      <w:r w:rsidR="00194FA0">
        <w:t>to dictate the options</w:t>
      </w:r>
      <w:r w:rsidR="00E43FA1">
        <w:t xml:space="preserve"> and lives of people with disability has </w:t>
      </w:r>
      <w:r w:rsidR="00BD01C9">
        <w:t>been apparent</w:t>
      </w:r>
      <w:r w:rsidR="004E5F16">
        <w:t xml:space="preserve"> during the pandemic</w:t>
      </w:r>
      <w:r w:rsidR="00435ED8">
        <w:t>.</w:t>
      </w:r>
      <w:r w:rsidR="00E43FA1">
        <w:t xml:space="preserve"> </w:t>
      </w:r>
      <w:r w:rsidR="00DD350B">
        <w:t xml:space="preserve">As </w:t>
      </w:r>
      <w:r w:rsidR="006D0E3D">
        <w:t xml:space="preserve">seen below, some </w:t>
      </w:r>
      <w:r w:rsidR="003A0C17">
        <w:t xml:space="preserve">disability </w:t>
      </w:r>
      <w:r w:rsidR="00E7684C">
        <w:t xml:space="preserve">residential services providers worked to facilitate access for residents to their usual services within the home while others </w:t>
      </w:r>
      <w:r w:rsidR="00C71644">
        <w:t xml:space="preserve">decided that this was not an option and limited </w:t>
      </w:r>
      <w:r w:rsidR="00007310">
        <w:t>access to the home</w:t>
      </w:r>
      <w:r w:rsidR="00B64FCA">
        <w:t xml:space="preserve"> to their staff only.</w:t>
      </w:r>
      <w:r w:rsidR="00207D73">
        <w:t xml:space="preserve"> From OPA’s experience </w:t>
      </w:r>
      <w:r w:rsidR="00CF1D96">
        <w:t xml:space="preserve">engaging with </w:t>
      </w:r>
      <w:r w:rsidR="003A18EA">
        <w:t xml:space="preserve">people working </w:t>
      </w:r>
      <w:r w:rsidR="00207D73">
        <w:t>across allied health</w:t>
      </w:r>
      <w:r w:rsidR="00CF1D96">
        <w:t>, behavioural specialists</w:t>
      </w:r>
      <w:r w:rsidR="00207D73">
        <w:t xml:space="preserve"> and residential</w:t>
      </w:r>
      <w:r w:rsidR="00CF1D96">
        <w:t xml:space="preserve"> services</w:t>
      </w:r>
      <w:r w:rsidR="007C5CAE">
        <w:t xml:space="preserve">, we believe </w:t>
      </w:r>
      <w:r w:rsidR="007B7A2A">
        <w:t xml:space="preserve">that in </w:t>
      </w:r>
      <w:r w:rsidR="00506003">
        <w:t xml:space="preserve">many </w:t>
      </w:r>
      <w:r w:rsidR="007B7A2A">
        <w:t xml:space="preserve">cases </w:t>
      </w:r>
      <w:r w:rsidR="00AA2A4E">
        <w:t xml:space="preserve">it was </w:t>
      </w:r>
      <w:r w:rsidR="007C5CAE">
        <w:t xml:space="preserve">organisational policy </w:t>
      </w:r>
      <w:r w:rsidR="00AA2A4E">
        <w:t xml:space="preserve">that </w:t>
      </w:r>
      <w:r w:rsidR="007C5CAE">
        <w:t xml:space="preserve">drove </w:t>
      </w:r>
      <w:r w:rsidR="00AE781E">
        <w:t xml:space="preserve">the types </w:t>
      </w:r>
      <w:r w:rsidR="00C556DB">
        <w:t>(</w:t>
      </w:r>
      <w:r w:rsidR="00AE781E">
        <w:t>and mode of delivery</w:t>
      </w:r>
      <w:r w:rsidR="00C556DB">
        <w:t>)</w:t>
      </w:r>
      <w:r w:rsidR="00AE781E">
        <w:t xml:space="preserve"> of service</w:t>
      </w:r>
      <w:r w:rsidR="007B7A2A">
        <w:t>s offered during COVID-19.</w:t>
      </w:r>
      <w:r w:rsidR="00F635D1">
        <w:t xml:space="preserve"> While this is nothing new</w:t>
      </w:r>
      <w:r w:rsidR="00F61C9A">
        <w:t>, of course services are responsible for determining what they will offer</w:t>
      </w:r>
      <w:r w:rsidR="00F63E67">
        <w:t xml:space="preserve">, </w:t>
      </w:r>
      <w:r w:rsidR="00D10B6C">
        <w:t>consumer choice is greatly constrained during a public health emergency</w:t>
      </w:r>
      <w:r w:rsidR="00E173C6">
        <w:t xml:space="preserve"> which prevents serv</w:t>
      </w:r>
      <w:r w:rsidR="00DE2728">
        <w:t xml:space="preserve">ice users </w:t>
      </w:r>
      <w:r w:rsidR="00E173C6">
        <w:t>from</w:t>
      </w:r>
      <w:r w:rsidR="00DE2728">
        <w:t xml:space="preserve"> ‘vot</w:t>
      </w:r>
      <w:r w:rsidR="00E173C6">
        <w:t>ing</w:t>
      </w:r>
      <w:r w:rsidR="00DE2728">
        <w:t xml:space="preserve"> with their feet.’</w:t>
      </w:r>
      <w:r w:rsidR="000F2FBF">
        <w:t xml:space="preserve"> </w:t>
      </w:r>
    </w:p>
    <w:p w14:paraId="6B20B9D2" w14:textId="055BF640" w:rsidR="002E4006" w:rsidRDefault="000F2FBF" w:rsidP="00A84802">
      <w:pPr>
        <w:spacing w:line="276" w:lineRule="auto"/>
        <w:ind w:left="709"/>
      </w:pPr>
      <w:r>
        <w:t>Movement within the residential services sector largely halted</w:t>
      </w:r>
      <w:r w:rsidR="00755B2E">
        <w:t>, with the exception of aged care (which</w:t>
      </w:r>
      <w:r w:rsidR="000B7C88">
        <w:t>, anecdotally,</w:t>
      </w:r>
      <w:r w:rsidR="00755B2E">
        <w:t xml:space="preserve"> forced 14</w:t>
      </w:r>
      <w:r w:rsidR="000B7C88">
        <w:t>-</w:t>
      </w:r>
      <w:r w:rsidR="00755B2E">
        <w:t>day isolation periods on new residents)</w:t>
      </w:r>
      <w:r w:rsidR="00ED6A52">
        <w:t xml:space="preserve">. SRS and disability residential services residents </w:t>
      </w:r>
      <w:r w:rsidR="003859FA">
        <w:t xml:space="preserve">were beholden to the decisions </w:t>
      </w:r>
      <w:r w:rsidR="000A4010">
        <w:t>of</w:t>
      </w:r>
      <w:r w:rsidR="003859FA">
        <w:t xml:space="preserve"> their providers</w:t>
      </w:r>
      <w:r w:rsidR="000A4010">
        <w:t xml:space="preserve"> and </w:t>
      </w:r>
      <w:r w:rsidR="0073684D">
        <w:t xml:space="preserve">the vast majority </w:t>
      </w:r>
      <w:r w:rsidR="000A4010">
        <w:t xml:space="preserve">were not </w:t>
      </w:r>
      <w:r w:rsidR="0073684D">
        <w:t>taking</w:t>
      </w:r>
      <w:r w:rsidR="000A4010">
        <w:t xml:space="preserve"> new residents</w:t>
      </w:r>
      <w:r w:rsidR="003859FA">
        <w:t>.</w:t>
      </w:r>
      <w:r w:rsidR="005D5BBC">
        <w:t xml:space="preserve"> For example, </w:t>
      </w:r>
      <w:r w:rsidR="00F6146D">
        <w:t>OPA staff are aware that</w:t>
      </w:r>
      <w:r w:rsidR="004F428F">
        <w:t>,</w:t>
      </w:r>
      <w:r w:rsidR="00F6146D">
        <w:t xml:space="preserve"> </w:t>
      </w:r>
      <w:r w:rsidR="005D5BBC">
        <w:t xml:space="preserve">in </w:t>
      </w:r>
      <w:r w:rsidR="001438ED">
        <w:t xml:space="preserve">some of </w:t>
      </w:r>
      <w:r w:rsidR="005D5BBC">
        <w:t>those SRS that had decided on a lockdown approach</w:t>
      </w:r>
      <w:r w:rsidR="004F428F">
        <w:t>,</w:t>
      </w:r>
      <w:r w:rsidR="005D5BBC">
        <w:t xml:space="preserve"> </w:t>
      </w:r>
      <w:r w:rsidR="003D14C6">
        <w:t xml:space="preserve">residents </w:t>
      </w:r>
      <w:r w:rsidR="005D5BBC">
        <w:t>were free to leave but would not be allowed to return</w:t>
      </w:r>
      <w:r w:rsidR="00CC0979">
        <w:t xml:space="preserve"> after a day out.</w:t>
      </w:r>
    </w:p>
    <w:p w14:paraId="785F8DC4" w14:textId="19B6740D" w:rsidR="00501E6C" w:rsidRDefault="00D03C4C" w:rsidP="00A84802">
      <w:pPr>
        <w:spacing w:line="276" w:lineRule="auto"/>
        <w:ind w:left="709"/>
      </w:pPr>
      <w:r>
        <w:lastRenderedPageBreak/>
        <w:t xml:space="preserve">OPA is not unsympathetic to </w:t>
      </w:r>
      <w:r w:rsidR="00266649">
        <w:t xml:space="preserve">the fraught position </w:t>
      </w:r>
      <w:r w:rsidR="00266649" w:rsidRPr="00394073">
        <w:t>residential services providers</w:t>
      </w:r>
      <w:r w:rsidR="00266649">
        <w:t xml:space="preserve"> faced </w:t>
      </w:r>
      <w:r w:rsidR="001E04E4">
        <w:t xml:space="preserve">at the onset of the pandemic, understanding that </w:t>
      </w:r>
      <w:r w:rsidR="005B5516">
        <w:t xml:space="preserve">people living in </w:t>
      </w:r>
      <w:r w:rsidR="001E04E4">
        <w:t>congre</w:t>
      </w:r>
      <w:r w:rsidR="005B5516">
        <w:t>gate settings were particularly at-risk of contagion and</w:t>
      </w:r>
      <w:r w:rsidR="00BE36E7">
        <w:t xml:space="preserve"> that</w:t>
      </w:r>
      <w:r w:rsidR="005B5516">
        <w:t xml:space="preserve"> people with disability </w:t>
      </w:r>
      <w:r w:rsidR="00212DF1">
        <w:t>were more likely to have underlying health conditions that made them vulnerable to severe forms of the disease</w:t>
      </w:r>
      <w:r w:rsidR="00BE36E7">
        <w:t xml:space="preserve"> and even death.</w:t>
      </w:r>
      <w:r w:rsidR="007C6C38">
        <w:t xml:space="preserve"> </w:t>
      </w:r>
      <w:r w:rsidR="00995BF3">
        <w:t xml:space="preserve">The questions </w:t>
      </w:r>
      <w:r w:rsidR="00F343E3">
        <w:t>(</w:t>
      </w:r>
      <w:r w:rsidR="00995BF3">
        <w:t xml:space="preserve">and </w:t>
      </w:r>
      <w:r w:rsidR="00F343E3">
        <w:t xml:space="preserve">regulatory </w:t>
      </w:r>
      <w:r w:rsidR="00995BF3">
        <w:t>gaps</w:t>
      </w:r>
      <w:r w:rsidR="00F343E3">
        <w:t>)</w:t>
      </w:r>
      <w:r w:rsidR="00995BF3">
        <w:t xml:space="preserve"> that we seek to highlight here</w:t>
      </w:r>
      <w:r w:rsidR="005B5516">
        <w:t xml:space="preserve"> </w:t>
      </w:r>
      <w:r w:rsidR="00F343E3">
        <w:t xml:space="preserve">are those </w:t>
      </w:r>
      <w:r w:rsidR="008C5E48">
        <w:t>that arise most clearly in an emergency</w:t>
      </w:r>
      <w:r w:rsidR="00501E6C">
        <w:t>:</w:t>
      </w:r>
    </w:p>
    <w:p w14:paraId="3E4450F4" w14:textId="527351BC" w:rsidR="004F428F" w:rsidRDefault="00D75490" w:rsidP="00035CF1">
      <w:pPr>
        <w:pStyle w:val="ListParagraph"/>
        <w:numPr>
          <w:ilvl w:val="0"/>
          <w:numId w:val="18"/>
        </w:numPr>
        <w:spacing w:line="276" w:lineRule="auto"/>
      </w:pPr>
      <w:r>
        <w:t xml:space="preserve">Which organisational priorities are </w:t>
      </w:r>
      <w:r w:rsidR="00F03469">
        <w:t>foremost</w:t>
      </w:r>
      <w:r>
        <w:t xml:space="preserve"> when making decisions that impact the</w:t>
      </w:r>
      <w:r w:rsidR="00F03469">
        <w:t xml:space="preserve"> wellbeing of clients?</w:t>
      </w:r>
      <w:r>
        <w:t xml:space="preserve"> </w:t>
      </w:r>
      <w:r w:rsidR="00F03469">
        <w:t>Duty of care</w:t>
      </w:r>
      <w:r w:rsidR="00884B82">
        <w:t xml:space="preserve">? Health and safety of staff? </w:t>
      </w:r>
      <w:r w:rsidR="00CE244E">
        <w:t>Client wellbeing? Organisational reputational risks?</w:t>
      </w:r>
      <w:r w:rsidR="00266649">
        <w:t xml:space="preserve"> </w:t>
      </w:r>
    </w:p>
    <w:p w14:paraId="2D1381E6" w14:textId="789DE2CD" w:rsidR="00BF21F8" w:rsidRPr="00FA6A22" w:rsidRDefault="00BF21F8" w:rsidP="00035CF1">
      <w:pPr>
        <w:pStyle w:val="ListParagraph"/>
        <w:numPr>
          <w:ilvl w:val="0"/>
          <w:numId w:val="18"/>
        </w:numPr>
        <w:spacing w:line="276" w:lineRule="auto"/>
      </w:pPr>
      <w:r>
        <w:t xml:space="preserve">Where </w:t>
      </w:r>
      <w:r w:rsidR="00066096">
        <w:t xml:space="preserve">emergency related orders and directions are in place, </w:t>
      </w:r>
      <w:r w:rsidR="007718D7">
        <w:t xml:space="preserve">what is a reasonable interpretation of those orders where it is unclear how they fit with the lives </w:t>
      </w:r>
      <w:r w:rsidR="00541140">
        <w:t xml:space="preserve">and service </w:t>
      </w:r>
      <w:r w:rsidR="00541140" w:rsidRPr="00FA6A22">
        <w:t xml:space="preserve">needs </w:t>
      </w:r>
      <w:r w:rsidR="007718D7" w:rsidRPr="00FA6A22">
        <w:t>of people with disability</w:t>
      </w:r>
      <w:r w:rsidR="00541140" w:rsidRPr="00FA6A22">
        <w:t>?</w:t>
      </w:r>
      <w:r w:rsidR="008605ED" w:rsidRPr="00FA6A22">
        <w:t xml:space="preserve"> What </w:t>
      </w:r>
      <w:r w:rsidR="00E31279" w:rsidRPr="00FA6A22">
        <w:t xml:space="preserve">role does perception of risk play in these decisions? </w:t>
      </w:r>
    </w:p>
    <w:p w14:paraId="0B8E1C9A" w14:textId="6169CE00" w:rsidR="006C1131" w:rsidRPr="00FA6A22" w:rsidRDefault="006C1131" w:rsidP="00035CF1">
      <w:pPr>
        <w:pStyle w:val="ListParagraph"/>
        <w:numPr>
          <w:ilvl w:val="0"/>
          <w:numId w:val="18"/>
        </w:numPr>
        <w:spacing w:line="276" w:lineRule="auto"/>
      </w:pPr>
      <w:r w:rsidRPr="00FA6A22">
        <w:t xml:space="preserve">To whom can </w:t>
      </w:r>
      <w:r w:rsidR="002C6D4A" w:rsidRPr="00FA6A22">
        <w:t xml:space="preserve">SRS </w:t>
      </w:r>
      <w:r w:rsidRPr="00FA6A22">
        <w:t>residents</w:t>
      </w:r>
      <w:r w:rsidR="002C6D4A" w:rsidRPr="00FA6A22">
        <w:t xml:space="preserve"> </w:t>
      </w:r>
      <w:r w:rsidR="001554A3" w:rsidRPr="00FA6A22">
        <w:t xml:space="preserve">who have a disability </w:t>
      </w:r>
      <w:r w:rsidR="002C6D4A" w:rsidRPr="00FA6A22">
        <w:t>who don’t have an NDIS package</w:t>
      </w:r>
      <w:r w:rsidRPr="00FA6A22">
        <w:t>, advocates and families escalate their concerns</w:t>
      </w:r>
      <w:r w:rsidR="00520229" w:rsidRPr="00FA6A22">
        <w:t xml:space="preserve"> </w:t>
      </w:r>
      <w:r w:rsidR="00544224" w:rsidRPr="00FA6A22">
        <w:t xml:space="preserve">to </w:t>
      </w:r>
      <w:r w:rsidR="00520229" w:rsidRPr="00FA6A22">
        <w:t xml:space="preserve">where they feel that </w:t>
      </w:r>
      <w:r w:rsidR="008605ED" w:rsidRPr="00FA6A22">
        <w:t xml:space="preserve">resident </w:t>
      </w:r>
      <w:r w:rsidR="00520229" w:rsidRPr="00FA6A22">
        <w:t xml:space="preserve">wellbeing is </w:t>
      </w:r>
      <w:r w:rsidR="00ED4DF4" w:rsidRPr="00FA6A22">
        <w:t xml:space="preserve">threatened by </w:t>
      </w:r>
      <w:r w:rsidR="00E4264C" w:rsidRPr="00FA6A22">
        <w:t xml:space="preserve">organisational </w:t>
      </w:r>
      <w:r w:rsidR="00ED4DF4" w:rsidRPr="00FA6A22">
        <w:t>restrictions</w:t>
      </w:r>
      <w:r w:rsidR="00520229" w:rsidRPr="00FA6A22">
        <w:t>?</w:t>
      </w:r>
    </w:p>
    <w:p w14:paraId="7CF9FDCF" w14:textId="7E5A5F24" w:rsidR="000E79CC" w:rsidRDefault="00E4264C" w:rsidP="00A84802">
      <w:pPr>
        <w:spacing w:line="276" w:lineRule="auto"/>
        <w:ind w:left="709"/>
      </w:pPr>
      <w:r w:rsidRPr="002C6D4A">
        <w:t xml:space="preserve">Interestingly, </w:t>
      </w:r>
      <w:r w:rsidR="00D02561" w:rsidRPr="002C6D4A">
        <w:t xml:space="preserve">the </w:t>
      </w:r>
      <w:r w:rsidR="00E90F54" w:rsidRPr="002C6D4A">
        <w:t xml:space="preserve">initial </w:t>
      </w:r>
      <w:r w:rsidR="00D02561" w:rsidRPr="002C6D4A">
        <w:t xml:space="preserve">response of the aged care sector to COVID-19 was </w:t>
      </w:r>
      <w:r w:rsidR="00593C40" w:rsidRPr="002C6D4A">
        <w:t>characterised</w:t>
      </w:r>
      <w:r w:rsidR="00593C40">
        <w:t xml:space="preserve"> by widespread </w:t>
      </w:r>
      <w:r w:rsidR="00D02561">
        <w:t>lockdown</w:t>
      </w:r>
      <w:r w:rsidR="00593C40">
        <w:t>s and</w:t>
      </w:r>
      <w:r w:rsidR="00866993">
        <w:t xml:space="preserve"> </w:t>
      </w:r>
      <w:r w:rsidR="00593C40">
        <w:t xml:space="preserve">many </w:t>
      </w:r>
      <w:r w:rsidR="00866993">
        <w:t xml:space="preserve">facilities </w:t>
      </w:r>
      <w:r w:rsidR="000B76E2">
        <w:t>banned</w:t>
      </w:r>
      <w:r w:rsidR="00866993">
        <w:t xml:space="preserve"> face</w:t>
      </w:r>
      <w:r w:rsidR="001F1A0C">
        <w:t>-</w:t>
      </w:r>
      <w:r w:rsidR="00866993">
        <w:t>to</w:t>
      </w:r>
      <w:r w:rsidR="001F1A0C">
        <w:t>-</w:t>
      </w:r>
      <w:r w:rsidR="00866993">
        <w:t xml:space="preserve">face visits </w:t>
      </w:r>
      <w:r w:rsidR="000B76E2">
        <w:t xml:space="preserve">with </w:t>
      </w:r>
      <w:r w:rsidR="00866993">
        <w:t>relatives</w:t>
      </w:r>
      <w:r w:rsidR="00773870">
        <w:t xml:space="preserve">. The aged care </w:t>
      </w:r>
      <w:r w:rsidR="00A07D06">
        <w:t xml:space="preserve">sector responded </w:t>
      </w:r>
      <w:r w:rsidR="00124233">
        <w:t>to the</w:t>
      </w:r>
      <w:r w:rsidR="00773870">
        <w:t xml:space="preserve"> </w:t>
      </w:r>
      <w:r w:rsidR="00D14D88">
        <w:t>concerns raised in the media by families wanting information and access to their loved ones</w:t>
      </w:r>
      <w:r w:rsidR="00124233">
        <w:t xml:space="preserve"> by working together to develop </w:t>
      </w:r>
      <w:r w:rsidR="002F24A1">
        <w:t>an ‘Industry code</w:t>
      </w:r>
      <w:r w:rsidR="00A730FC">
        <w:t xml:space="preserve"> for visiting residential aged care homes during COVID-19’</w:t>
      </w:r>
      <w:r w:rsidR="006638CE">
        <w:t>.</w:t>
      </w:r>
      <w:r w:rsidR="00931B41">
        <w:rPr>
          <w:rStyle w:val="FootnoteReference"/>
        </w:rPr>
        <w:footnoteReference w:id="13"/>
      </w:r>
      <w:r w:rsidR="006638CE">
        <w:t xml:space="preserve"> This approach was suggested by COTA Australia and provided an opportunity for join</w:t>
      </w:r>
      <w:r w:rsidR="000E79CC">
        <w:t>t</w:t>
      </w:r>
      <w:r w:rsidR="006638CE">
        <w:t xml:space="preserve"> consideration </w:t>
      </w:r>
      <w:r w:rsidR="001B6C9D">
        <w:t xml:space="preserve">by peak industry bodies </w:t>
      </w:r>
      <w:r w:rsidR="006638CE">
        <w:t>of the relevant laws</w:t>
      </w:r>
      <w:r w:rsidR="00CD22BA">
        <w:t xml:space="preserve"> and advice of the</w:t>
      </w:r>
      <w:r w:rsidR="002C73CF">
        <w:t xml:space="preserve"> Australian </w:t>
      </w:r>
      <w:r w:rsidR="002C73CF" w:rsidRPr="00FA6A22">
        <w:t>Health</w:t>
      </w:r>
      <w:r w:rsidR="002C73CF">
        <w:t xml:space="preserve"> </w:t>
      </w:r>
      <w:r w:rsidR="0043610E">
        <w:t>Protection Principal Committee (AHPPC)</w:t>
      </w:r>
      <w:r w:rsidR="001B6C9D">
        <w:t xml:space="preserve"> as well as the human rights</w:t>
      </w:r>
      <w:r w:rsidR="006638CE">
        <w:t xml:space="preserve"> </w:t>
      </w:r>
      <w:r w:rsidR="00907A12">
        <w:t xml:space="preserve">of </w:t>
      </w:r>
      <w:r w:rsidR="006638CE">
        <w:t xml:space="preserve">and risks </w:t>
      </w:r>
      <w:r w:rsidR="00907A12">
        <w:t>to</w:t>
      </w:r>
      <w:r w:rsidR="006638CE">
        <w:t xml:space="preserve"> </w:t>
      </w:r>
      <w:r w:rsidR="000E79CC">
        <w:t>residents</w:t>
      </w:r>
      <w:r w:rsidR="00907A12">
        <w:t xml:space="preserve"> during the pandemic</w:t>
      </w:r>
      <w:r w:rsidR="000E79CC">
        <w:t>.</w:t>
      </w:r>
      <w:r w:rsidR="00222981">
        <w:t xml:space="preserve"> The result </w:t>
      </w:r>
      <w:r w:rsidR="00D45E9F">
        <w:t>was a public</w:t>
      </w:r>
      <w:r w:rsidR="002C6D4A">
        <w:t>ly available</w:t>
      </w:r>
      <w:r w:rsidR="00D45E9F">
        <w:t xml:space="preserve"> industry agreed guide for facilities that acknowledged and </w:t>
      </w:r>
      <w:r w:rsidR="00AA0C22">
        <w:t>sought to manage the risks involved while respecting the rights of residents to have some contact with their loved ones</w:t>
      </w:r>
      <w:r w:rsidR="00224827">
        <w:t xml:space="preserve"> as long as risk mitigating conditions were met</w:t>
      </w:r>
      <w:r w:rsidR="00AA0C22">
        <w:t>.</w:t>
      </w:r>
      <w:r w:rsidR="00251CBB">
        <w:t xml:space="preserve"> The code also specifies </w:t>
      </w:r>
      <w:r w:rsidR="00DF386F">
        <w:t>options for complaints to the Aged Care Quality and Safeguards Commission</w:t>
      </w:r>
      <w:r w:rsidR="0020184C">
        <w:t>.</w:t>
      </w:r>
    </w:p>
    <w:p w14:paraId="40698534" w14:textId="0ECBC462" w:rsidR="00A75EDD" w:rsidRDefault="000A6CF6" w:rsidP="001D4852">
      <w:pPr>
        <w:spacing w:line="276" w:lineRule="auto"/>
        <w:ind w:left="709"/>
      </w:pPr>
      <w:r>
        <w:t xml:space="preserve">The NDIS Commission published a variety of </w:t>
      </w:r>
      <w:r w:rsidR="004204AE">
        <w:t xml:space="preserve">online </w:t>
      </w:r>
      <w:r>
        <w:t xml:space="preserve">resources </w:t>
      </w:r>
      <w:r w:rsidR="004204AE">
        <w:t xml:space="preserve">including </w:t>
      </w:r>
      <w:r w:rsidR="004204AE" w:rsidRPr="004204AE">
        <w:t xml:space="preserve">links to updates, training, alerts, and resources for NDIS participants and providers. </w:t>
      </w:r>
      <w:r w:rsidR="004204AE">
        <w:t>The guidance published by the NDIS Commission did not provide such specific direction to providers; rather it linked to the Australian Department of Health website and the Victoria</w:t>
      </w:r>
      <w:r w:rsidR="00A278D8">
        <w:t>n</w:t>
      </w:r>
      <w:r w:rsidR="004204AE">
        <w:t xml:space="preserve"> DHHS website. </w:t>
      </w:r>
      <w:r w:rsidR="001044E8" w:rsidRPr="003B245E">
        <w:t xml:space="preserve">The </w:t>
      </w:r>
      <w:r w:rsidR="003B245E" w:rsidRPr="003B245E">
        <w:t>Victorian</w:t>
      </w:r>
      <w:r w:rsidR="00EF0375" w:rsidRPr="003B245E">
        <w:t xml:space="preserve"> DHHS published a variety of resources, which </w:t>
      </w:r>
      <w:r w:rsidR="003B245E">
        <w:t>are</w:t>
      </w:r>
      <w:r w:rsidR="00EF0375" w:rsidRPr="003B245E">
        <w:t xml:space="preserve"> updated regularly, </w:t>
      </w:r>
      <w:r w:rsidR="003B245E">
        <w:t>to support the disability and community services sectors.</w:t>
      </w:r>
      <w:r w:rsidR="001D4852">
        <w:rPr>
          <w:rStyle w:val="FootnoteReference"/>
        </w:rPr>
        <w:footnoteReference w:id="14"/>
      </w:r>
      <w:r w:rsidR="003B245E">
        <w:t xml:space="preserve"> </w:t>
      </w:r>
      <w:r w:rsidR="00EF0375" w:rsidRPr="003B245E">
        <w:t xml:space="preserve"> </w:t>
      </w:r>
      <w:r w:rsidR="00503638">
        <w:t xml:space="preserve">It is clear that the </w:t>
      </w:r>
      <w:r w:rsidR="0040437B">
        <w:t>advice, however,</w:t>
      </w:r>
      <w:r w:rsidR="008B2FF2">
        <w:t xml:space="preserve"> has not resulted in consistent practice across facilities</w:t>
      </w:r>
      <w:r w:rsidR="00FF3466">
        <w:t xml:space="preserve"> in relation to </w:t>
      </w:r>
      <w:r w:rsidR="00736637">
        <w:t xml:space="preserve">resident </w:t>
      </w:r>
      <w:r w:rsidR="00FF3466">
        <w:t xml:space="preserve">access to external services and </w:t>
      </w:r>
      <w:r w:rsidR="0049490D">
        <w:t xml:space="preserve">freedom of </w:t>
      </w:r>
      <w:r w:rsidR="00FF3466">
        <w:t>movement</w:t>
      </w:r>
      <w:r w:rsidR="00927DA7">
        <w:t>.</w:t>
      </w:r>
      <w:r w:rsidR="00181A00">
        <w:t xml:space="preserve"> </w:t>
      </w:r>
    </w:p>
    <w:p w14:paraId="4394C134" w14:textId="58B9A415" w:rsidR="00BE6EE4" w:rsidRDefault="00A278D8" w:rsidP="00A84802">
      <w:pPr>
        <w:spacing w:line="276" w:lineRule="auto"/>
        <w:ind w:left="709"/>
      </w:pPr>
      <w:r>
        <w:t>Where it relates to a</w:t>
      </w:r>
      <w:r w:rsidR="00503638">
        <w:t>n</w:t>
      </w:r>
      <w:r>
        <w:t xml:space="preserve"> NDIS registered (or </w:t>
      </w:r>
      <w:r w:rsidR="001A2645">
        <w:t>unregistered</w:t>
      </w:r>
      <w:r>
        <w:t xml:space="preserve"> provider) and</w:t>
      </w:r>
      <w:r w:rsidR="001A2645">
        <w:t xml:space="preserve"> </w:t>
      </w:r>
      <w:r w:rsidR="0012045E">
        <w:t xml:space="preserve">someone thinks that the </w:t>
      </w:r>
      <w:r w:rsidR="007D38CF">
        <w:t>organisation imposed</w:t>
      </w:r>
      <w:r w:rsidR="0012045E">
        <w:t xml:space="preserve"> limitations on </w:t>
      </w:r>
      <w:r w:rsidR="00A55202">
        <w:t xml:space="preserve">resident </w:t>
      </w:r>
      <w:r w:rsidR="0012045E">
        <w:t>movement</w:t>
      </w:r>
      <w:r w:rsidR="00A55202">
        <w:t xml:space="preserve"> </w:t>
      </w:r>
      <w:r w:rsidR="00CD53AE">
        <w:t xml:space="preserve">which </w:t>
      </w:r>
      <w:r w:rsidR="00A55202">
        <w:t xml:space="preserve">go beyond the </w:t>
      </w:r>
      <w:r w:rsidR="00657E4D">
        <w:t>enforceable restrictions imposed on the general community</w:t>
      </w:r>
      <w:r w:rsidR="004E47E0">
        <w:t xml:space="preserve"> and the specific</w:t>
      </w:r>
      <w:r w:rsidR="00C142F8">
        <w:t xml:space="preserve"> CHO</w:t>
      </w:r>
      <w:r w:rsidR="004E47E0">
        <w:t xml:space="preserve"> directions that apply to Victorian care facilities</w:t>
      </w:r>
      <w:r w:rsidR="0044564B">
        <w:t xml:space="preserve">, and they did not follow the necessary processes in </w:t>
      </w:r>
      <w:r w:rsidR="0044564B">
        <w:lastRenderedPageBreak/>
        <w:t>relation to regulated restrictive practices,</w:t>
      </w:r>
      <w:r w:rsidR="00C142F8">
        <w:t xml:space="preserve"> a complaint c</w:t>
      </w:r>
      <w:r w:rsidR="004D44B4">
        <w:t>ould</w:t>
      </w:r>
      <w:r w:rsidR="00C142F8">
        <w:t xml:space="preserve"> be </w:t>
      </w:r>
      <w:r w:rsidR="00C142F8" w:rsidRPr="00010D27">
        <w:t xml:space="preserve">made to the </w:t>
      </w:r>
      <w:r w:rsidR="00010D27" w:rsidRPr="00010D27">
        <w:t xml:space="preserve">NDIS </w:t>
      </w:r>
      <w:r w:rsidR="00C142F8">
        <w:t>Commission</w:t>
      </w:r>
      <w:r w:rsidR="0044564B">
        <w:t>.</w:t>
      </w:r>
    </w:p>
    <w:p w14:paraId="4CBF1C47" w14:textId="21F1E8F2" w:rsidR="00B9291E" w:rsidRDefault="00614255" w:rsidP="00A84802">
      <w:pPr>
        <w:spacing w:line="276" w:lineRule="auto"/>
        <w:ind w:left="709"/>
      </w:pPr>
      <w:r>
        <w:t>The SRS sector</w:t>
      </w:r>
      <w:r w:rsidR="00A23F93">
        <w:t>, like aged care and disability residential services</w:t>
      </w:r>
      <w:r w:rsidR="00842E24">
        <w:t>, is subject to CHO directions</w:t>
      </w:r>
      <w:r w:rsidR="00EF30FC">
        <w:t xml:space="preserve">. </w:t>
      </w:r>
      <w:r w:rsidR="008B4EEC">
        <w:t xml:space="preserve">Their regulatory framework </w:t>
      </w:r>
      <w:r w:rsidR="00C055FB">
        <w:t>is silent on the</w:t>
      </w:r>
      <w:r w:rsidR="000F4E65">
        <w:t xml:space="preserve"> issue of restrictive practices</w:t>
      </w:r>
      <w:r w:rsidR="00C055FB">
        <w:t xml:space="preserve">. </w:t>
      </w:r>
      <w:r w:rsidR="000C69F1">
        <w:t xml:space="preserve">OPA frontline staff report </w:t>
      </w:r>
      <w:r w:rsidR="00A101CD">
        <w:t xml:space="preserve">very different responses from different facilities, from complete lockdowns </w:t>
      </w:r>
      <w:r w:rsidR="008D7392">
        <w:t xml:space="preserve">with no community access </w:t>
      </w:r>
      <w:r w:rsidR="00EE3418">
        <w:t xml:space="preserve">and threats of eviction for those who do not follow the rules to </w:t>
      </w:r>
      <w:r w:rsidR="00700A48">
        <w:t xml:space="preserve">facilities where residents who may not be capable of following social distancing advice </w:t>
      </w:r>
      <w:r w:rsidR="0078609D">
        <w:t xml:space="preserve">have </w:t>
      </w:r>
      <w:r w:rsidR="002D46E5">
        <w:t>frequent</w:t>
      </w:r>
      <w:r w:rsidR="008D7392">
        <w:t>,</w:t>
      </w:r>
      <w:r w:rsidR="002D46E5">
        <w:t xml:space="preserve"> unsupervised</w:t>
      </w:r>
      <w:r w:rsidR="00D70EAF">
        <w:t xml:space="preserve"> community access</w:t>
      </w:r>
      <w:r w:rsidR="00EF7BFC">
        <w:t xml:space="preserve"> and hygiene </w:t>
      </w:r>
      <w:r w:rsidR="006C605F">
        <w:t>and cleaning regimes</w:t>
      </w:r>
      <w:r w:rsidR="00EF7BFC">
        <w:t xml:space="preserve"> are poor</w:t>
      </w:r>
      <w:r w:rsidR="0078609D">
        <w:t>.</w:t>
      </w:r>
    </w:p>
    <w:p w14:paraId="67D435D4" w14:textId="64D8A227" w:rsidR="003B649E" w:rsidRDefault="00E324D0" w:rsidP="00A84802">
      <w:pPr>
        <w:spacing w:line="276" w:lineRule="auto"/>
        <w:ind w:left="709"/>
      </w:pPr>
      <w:r>
        <w:t xml:space="preserve">The </w:t>
      </w:r>
      <w:r w:rsidR="006F180D">
        <w:t>work of</w:t>
      </w:r>
      <w:r>
        <w:t xml:space="preserve"> the aged care industry bodies to collaborate a</w:t>
      </w:r>
      <w:r w:rsidR="00BD047E">
        <w:t xml:space="preserve">nd consider </w:t>
      </w:r>
      <w:r w:rsidR="00250015">
        <w:t xml:space="preserve">together </w:t>
      </w:r>
      <w:r w:rsidR="00BD047E">
        <w:t>the applicable laws (existing and COVID-19 specific)</w:t>
      </w:r>
      <w:r w:rsidR="00250015">
        <w:t xml:space="preserve"> and the human rights of the residents</w:t>
      </w:r>
      <w:r w:rsidR="006F180D">
        <w:t xml:space="preserve"> </w:t>
      </w:r>
      <w:r w:rsidR="00BC2AAD">
        <w:t>and develop clear guidelines for the whole sector</w:t>
      </w:r>
      <w:r w:rsidR="00BD7AAA">
        <w:t xml:space="preserve"> has been </w:t>
      </w:r>
      <w:r w:rsidR="00AA7324">
        <w:t xml:space="preserve">invaluable. </w:t>
      </w:r>
      <w:r w:rsidR="00593C99">
        <w:t xml:space="preserve">In planning and responding to a future pandemic, the disability sector would benefit from </w:t>
      </w:r>
      <w:r w:rsidR="00E72972">
        <w:t xml:space="preserve">public </w:t>
      </w:r>
      <w:r w:rsidR="00871846">
        <w:t xml:space="preserve">collaboration </w:t>
      </w:r>
      <w:r w:rsidR="00364B6E">
        <w:t xml:space="preserve">like that </w:t>
      </w:r>
      <w:r w:rsidR="00E72972">
        <w:t xml:space="preserve">across the </w:t>
      </w:r>
      <w:r w:rsidR="00871846">
        <w:t xml:space="preserve">aged care sector. </w:t>
      </w:r>
    </w:p>
    <w:p w14:paraId="2A9421E9" w14:textId="77777777" w:rsidR="003B59FC" w:rsidRPr="00194A3C" w:rsidRDefault="003B59FC" w:rsidP="003B59FC">
      <w:pPr>
        <w:spacing w:line="276" w:lineRule="auto"/>
        <w:ind w:left="709"/>
        <w:rPr>
          <w:b/>
          <w:bCs/>
        </w:rPr>
      </w:pPr>
      <w:r w:rsidRPr="00194A3C">
        <w:rPr>
          <w:b/>
          <w:bCs/>
        </w:rPr>
        <w:t>Recommendation 3</w:t>
      </w:r>
    </w:p>
    <w:p w14:paraId="0FE5B56C" w14:textId="77777777" w:rsidR="003B59FC" w:rsidRPr="00194A3C" w:rsidRDefault="003B59FC" w:rsidP="003B59FC">
      <w:pPr>
        <w:spacing w:line="276" w:lineRule="auto"/>
        <w:ind w:left="709"/>
        <w:rPr>
          <w:b/>
          <w:bCs/>
          <w:lang w:val="en-CA"/>
        </w:rPr>
      </w:pPr>
      <w:r w:rsidRPr="00194A3C">
        <w:rPr>
          <w:b/>
          <w:bCs/>
          <w:lang w:val="en-CA"/>
        </w:rPr>
        <w:t>During a public health emergency, state and territory governments should convene working groups of relevant industry, consumer and advocacy peak bodies to develop and communicate human rights consistent advice around necessary restrictions and mitigation strategies in group home settings.</w:t>
      </w:r>
    </w:p>
    <w:p w14:paraId="34C7C026" w14:textId="1FDE2374" w:rsidR="00CE69CD" w:rsidRDefault="00861278" w:rsidP="00CE69CD">
      <w:pPr>
        <w:spacing w:line="276" w:lineRule="auto"/>
        <w:ind w:left="709"/>
      </w:pPr>
      <w:r>
        <w:t>OPA notes that t</w:t>
      </w:r>
      <w:r w:rsidR="00CE69CD" w:rsidRPr="002C534D">
        <w:t xml:space="preserve">he needs of diverse groups could be better met by increased early consultation with key representatives of those groups. </w:t>
      </w:r>
      <w:r w:rsidR="00592EF7">
        <w:t xml:space="preserve">The Victorian Government </w:t>
      </w:r>
      <w:r w:rsidR="00E748D3">
        <w:t>addressed</w:t>
      </w:r>
      <w:r w:rsidR="00975C8C">
        <w:t xml:space="preserve"> </w:t>
      </w:r>
      <w:r w:rsidR="00592EF7">
        <w:t>this by establishing the Coronavirus (COVID-19) Disability Taskforce. The purpose of the Taskforce is</w:t>
      </w:r>
      <w:r w:rsidR="00592EF7" w:rsidRPr="00592EF7">
        <w:t xml:space="preserve"> </w:t>
      </w:r>
      <w:r w:rsidR="00AF1EF7">
        <w:t xml:space="preserve">to </w:t>
      </w:r>
      <w:r w:rsidR="00592EF7" w:rsidRPr="00592EF7">
        <w:t>contribute expertise to inform effective care and supports for people with disability and reduce risks posed by COVID-19</w:t>
      </w:r>
      <w:r w:rsidR="00592EF7">
        <w:t>. The Public Advocate sits on this Taskforce</w:t>
      </w:r>
      <w:r w:rsidR="00975C8C">
        <w:t>,</w:t>
      </w:r>
      <w:r w:rsidR="00592EF7">
        <w:t xml:space="preserve"> which is chaired by the Minister for Disability, Ageing and Carers</w:t>
      </w:r>
      <w:r w:rsidR="00975C8C">
        <w:t>, and con</w:t>
      </w:r>
      <w:r w:rsidR="00260E58">
        <w:t>sists of</w:t>
      </w:r>
      <w:r w:rsidR="00975C8C">
        <w:t xml:space="preserve"> representatives from across the sector</w:t>
      </w:r>
      <w:r w:rsidR="00E748D3">
        <w:t xml:space="preserve"> (including DHHS, NDIA and </w:t>
      </w:r>
      <w:r w:rsidR="007718DC">
        <w:t xml:space="preserve">the </w:t>
      </w:r>
      <w:r w:rsidR="00E748D3">
        <w:t>NDIS Commission)</w:t>
      </w:r>
      <w:r w:rsidR="00592EF7">
        <w:t xml:space="preserve">. A Taskforce such as this </w:t>
      </w:r>
      <w:r w:rsidR="00CE69CD" w:rsidRPr="002C534D">
        <w:t>needs to be embedded in emergency planning and responses. Consult</w:t>
      </w:r>
      <w:r w:rsidR="002C534D" w:rsidRPr="002C534D">
        <w:t>ations</w:t>
      </w:r>
      <w:r w:rsidR="00CE69CD" w:rsidRPr="002C534D">
        <w:t xml:space="preserve"> </w:t>
      </w:r>
      <w:r w:rsidR="002C534D" w:rsidRPr="002C534D">
        <w:t xml:space="preserve">should </w:t>
      </w:r>
      <w:r w:rsidR="00CE69CD" w:rsidRPr="002C534D">
        <w:t>be ongoing as risk levels change</w:t>
      </w:r>
      <w:r w:rsidR="002C534D" w:rsidRPr="002C534D">
        <w:t xml:space="preserve"> during an emergency.</w:t>
      </w:r>
    </w:p>
    <w:p w14:paraId="37EFEEC1" w14:textId="72FB0038" w:rsidR="002562BB" w:rsidRPr="002562BB" w:rsidRDefault="002562BB" w:rsidP="002562BB">
      <w:pPr>
        <w:spacing w:line="276" w:lineRule="auto"/>
        <w:ind w:left="709"/>
        <w:rPr>
          <w:lang w:val="en-CA"/>
        </w:rPr>
      </w:pPr>
      <w:r>
        <w:rPr>
          <w:lang w:val="en-CA"/>
        </w:rPr>
        <w:t xml:space="preserve">Such groups </w:t>
      </w:r>
      <w:r w:rsidR="00592EF7">
        <w:rPr>
          <w:lang w:val="en-CA"/>
        </w:rPr>
        <w:t>are</w:t>
      </w:r>
      <w:r>
        <w:rPr>
          <w:lang w:val="en-CA"/>
        </w:rPr>
        <w:t xml:space="preserve"> </w:t>
      </w:r>
      <w:r w:rsidR="00E748D3">
        <w:rPr>
          <w:lang w:val="en-CA"/>
        </w:rPr>
        <w:t xml:space="preserve">also </w:t>
      </w:r>
      <w:r>
        <w:rPr>
          <w:lang w:val="en-CA"/>
        </w:rPr>
        <w:t>valuable outside of periods of emergency to help</w:t>
      </w:r>
      <w:r w:rsidRPr="00982A7C">
        <w:rPr>
          <w:lang w:val="en-CA"/>
        </w:rPr>
        <w:t xml:space="preserve"> identify and solve emerging and entrenched issues. </w:t>
      </w:r>
    </w:p>
    <w:p w14:paraId="7A16F497" w14:textId="4ACCE886" w:rsidR="00083A23" w:rsidRDefault="001D4FAC" w:rsidP="00083A23">
      <w:pPr>
        <w:pStyle w:val="Heading2OPA"/>
        <w:numPr>
          <w:ilvl w:val="1"/>
          <w:numId w:val="16"/>
        </w:numPr>
        <w:ind w:left="709" w:hanging="709"/>
      </w:pPr>
      <w:bookmarkStart w:id="14" w:name="_Toc46949131"/>
      <w:r>
        <w:t>Balancing r</w:t>
      </w:r>
      <w:r w:rsidR="00B948A4">
        <w:t>isk</w:t>
      </w:r>
      <w:r>
        <w:t>s</w:t>
      </w:r>
      <w:r w:rsidR="00B948A4">
        <w:t xml:space="preserve"> </w:t>
      </w:r>
      <w:r>
        <w:t>with resident</w:t>
      </w:r>
      <w:r w:rsidR="00B948A4">
        <w:t xml:space="preserve"> safety</w:t>
      </w:r>
      <w:bookmarkEnd w:id="14"/>
    </w:p>
    <w:p w14:paraId="627E5ED3" w14:textId="224459D5" w:rsidR="00817E51" w:rsidRDefault="00EB1D6B" w:rsidP="00A84802">
      <w:pPr>
        <w:spacing w:line="276" w:lineRule="auto"/>
        <w:ind w:left="709"/>
      </w:pPr>
      <w:r>
        <w:t xml:space="preserve">As highlighted </w:t>
      </w:r>
      <w:r w:rsidR="00942C30">
        <w:t xml:space="preserve">in the section above, OPA </w:t>
      </w:r>
      <w:r w:rsidR="00B17364">
        <w:t xml:space="preserve">staff </w:t>
      </w:r>
      <w:r w:rsidR="00942C30">
        <w:t xml:space="preserve">saw some risk averse </w:t>
      </w:r>
      <w:r w:rsidR="00650534">
        <w:t xml:space="preserve">responses from disability service providers. </w:t>
      </w:r>
      <w:r w:rsidR="00861185">
        <w:t>As discussed above</w:t>
      </w:r>
      <w:r w:rsidR="00281CF7">
        <w:t xml:space="preserve">, where the decisions are presented as organisational decisions </w:t>
      </w:r>
      <w:r w:rsidR="002B1D39">
        <w:t>(and in many cases</w:t>
      </w:r>
      <w:r w:rsidR="00760C83">
        <w:t xml:space="preserve">, </w:t>
      </w:r>
      <w:r w:rsidR="002B1D39">
        <w:t>relied on questionable interpretations of CHO directions</w:t>
      </w:r>
      <w:r w:rsidR="00760C83">
        <w:t xml:space="preserve">) </w:t>
      </w:r>
      <w:r w:rsidR="00281CF7">
        <w:t xml:space="preserve">it can be </w:t>
      </w:r>
      <w:r w:rsidR="00CF7B04">
        <w:t xml:space="preserve">very difficult to advocate </w:t>
      </w:r>
      <w:r w:rsidR="00B91B01">
        <w:t xml:space="preserve">successfully </w:t>
      </w:r>
      <w:r w:rsidR="00C0618B">
        <w:t xml:space="preserve">and seek better outcomes for </w:t>
      </w:r>
      <w:r w:rsidR="00F8525E">
        <w:t>the client.</w:t>
      </w:r>
      <w:r w:rsidR="006426AE">
        <w:t xml:space="preserve"> </w:t>
      </w:r>
      <w:r w:rsidR="00C26BB9">
        <w:t>How were advocates or guardians t</w:t>
      </w:r>
      <w:r w:rsidR="006426AE">
        <w:t xml:space="preserve">o ensure the services being engaged </w:t>
      </w:r>
      <w:r w:rsidR="006A5830">
        <w:t xml:space="preserve">promote the wellbeing and </w:t>
      </w:r>
      <w:r w:rsidR="006426AE">
        <w:t xml:space="preserve">meet the needs, will and preferences of the </w:t>
      </w:r>
      <w:r w:rsidR="006A5830">
        <w:t>person</w:t>
      </w:r>
      <w:r w:rsidR="00C26BB9">
        <w:t>?</w:t>
      </w:r>
      <w:r w:rsidR="00BF3436">
        <w:t xml:space="preserve"> A sector-wide </w:t>
      </w:r>
      <w:r w:rsidR="00D60204">
        <w:t>response, as recommended above, would have helped</w:t>
      </w:r>
      <w:r w:rsidR="009A470B">
        <w:t xml:space="preserve"> assuage concerns that responses from some organisations were overly risk averse.</w:t>
      </w:r>
    </w:p>
    <w:p w14:paraId="273F64AF" w14:textId="2802D443" w:rsidR="00083A23" w:rsidRDefault="00EB41E1" w:rsidP="00A84802">
      <w:pPr>
        <w:spacing w:line="276" w:lineRule="auto"/>
        <w:ind w:left="709"/>
      </w:pPr>
      <w:r>
        <w:t>It is clear</w:t>
      </w:r>
      <w:r w:rsidR="00B6785B">
        <w:t xml:space="preserve"> when it comes to discussions of risk</w:t>
      </w:r>
      <w:r w:rsidR="007C6EF1">
        <w:t xml:space="preserve"> and </w:t>
      </w:r>
      <w:r w:rsidR="00B6785B">
        <w:t xml:space="preserve">individual </w:t>
      </w:r>
      <w:r w:rsidR="00B10CAB">
        <w:t xml:space="preserve">wellbeing (and consideration of a person’s </w:t>
      </w:r>
      <w:r w:rsidR="00B6785B">
        <w:t>will and preference</w:t>
      </w:r>
      <w:r w:rsidR="00B10CAB">
        <w:t>)</w:t>
      </w:r>
      <w:r w:rsidR="007C6EF1">
        <w:t xml:space="preserve">, that congregate care settings </w:t>
      </w:r>
      <w:r w:rsidR="006B6976">
        <w:t xml:space="preserve">create </w:t>
      </w:r>
      <w:r w:rsidR="00FF77F0">
        <w:t>tensions that require consideration</w:t>
      </w:r>
      <w:r w:rsidR="00432917">
        <w:t xml:space="preserve">. </w:t>
      </w:r>
      <w:r w:rsidR="008A6B1F">
        <w:t xml:space="preserve">Clearly, community access during a pandemic will always pose some </w:t>
      </w:r>
      <w:r w:rsidR="00C72BD0">
        <w:t xml:space="preserve">risk of </w:t>
      </w:r>
      <w:r w:rsidR="00C72BD0">
        <w:lastRenderedPageBreak/>
        <w:t>a resident bringing the disease back to the facility</w:t>
      </w:r>
      <w:r w:rsidR="001510BF">
        <w:t xml:space="preserve"> which could potentially infect other residents who have not gone out.</w:t>
      </w:r>
      <w:r w:rsidR="00260500">
        <w:t xml:space="preserve"> </w:t>
      </w:r>
      <w:r w:rsidR="00F014F3">
        <w:t xml:space="preserve">Does that </w:t>
      </w:r>
      <w:r w:rsidR="00F014F3" w:rsidRPr="00542C53">
        <w:t xml:space="preserve">mean the </w:t>
      </w:r>
      <w:r w:rsidR="00397774" w:rsidRPr="00542C53">
        <w:t xml:space="preserve">people operating the facility </w:t>
      </w:r>
      <w:r w:rsidR="007230C6" w:rsidRPr="00542C53">
        <w:t xml:space="preserve">have a duty </w:t>
      </w:r>
      <w:r w:rsidR="00397774" w:rsidRPr="00542C53">
        <w:t xml:space="preserve">to prevent </w:t>
      </w:r>
      <w:r w:rsidR="00F101C5" w:rsidRPr="00542C53">
        <w:t>all community access or limit the number of staff with whom each resident comes into contact with?</w:t>
      </w:r>
      <w:r w:rsidR="00CE1FC3" w:rsidRPr="00542C53">
        <w:t xml:space="preserve"> Some organisations </w:t>
      </w:r>
      <w:r w:rsidR="000D71E0" w:rsidRPr="00542C53">
        <w:t>took this view. Others did not.</w:t>
      </w:r>
      <w:r w:rsidR="00ED20BF" w:rsidRPr="00542C53">
        <w:t xml:space="preserve"> </w:t>
      </w:r>
      <w:r w:rsidR="00BC19F6" w:rsidRPr="004B20A0">
        <w:t>In any such instance it is crucial that residents</w:t>
      </w:r>
      <w:r w:rsidR="00ED20BF" w:rsidRPr="004B20A0">
        <w:t xml:space="preserve"> </w:t>
      </w:r>
      <w:r w:rsidR="00BC19F6" w:rsidRPr="004B20A0">
        <w:t xml:space="preserve">are </w:t>
      </w:r>
      <w:r w:rsidR="00ED20BF" w:rsidRPr="004B20A0">
        <w:t xml:space="preserve">consulted </w:t>
      </w:r>
      <w:r w:rsidR="00522A28" w:rsidRPr="004B20A0">
        <w:t xml:space="preserve">on these matters </w:t>
      </w:r>
      <w:r w:rsidR="00B52D5A" w:rsidRPr="004B20A0">
        <w:t>to ascertain their preferences.</w:t>
      </w:r>
      <w:r w:rsidR="00BC19F6" w:rsidRPr="004B20A0">
        <w:t xml:space="preserve"> OPA is not aware of the extent to which this occurred.</w:t>
      </w:r>
    </w:p>
    <w:p w14:paraId="1E61A329" w14:textId="5B9425F5" w:rsidR="0005515D" w:rsidRDefault="00D01EC6" w:rsidP="00A84802">
      <w:pPr>
        <w:spacing w:line="276" w:lineRule="auto"/>
        <w:ind w:left="709"/>
      </w:pPr>
      <w:r>
        <w:t xml:space="preserve">Organisations have responsibilities to their staff as well as their </w:t>
      </w:r>
      <w:r w:rsidR="004D20ED">
        <w:t>residents</w:t>
      </w:r>
      <w:r w:rsidR="00C37A5C">
        <w:t xml:space="preserve">. This will always be the case. </w:t>
      </w:r>
      <w:r w:rsidR="00AB1FD8">
        <w:t>C</w:t>
      </w:r>
      <w:r w:rsidR="00B1596A">
        <w:t xml:space="preserve">ongregate care settings </w:t>
      </w:r>
      <w:r w:rsidR="00CA36D2">
        <w:t xml:space="preserve">necessarily </w:t>
      </w:r>
      <w:r w:rsidR="00961EAC">
        <w:t xml:space="preserve">result in greater </w:t>
      </w:r>
      <w:r w:rsidR="00B57D5E">
        <w:t xml:space="preserve">potential for </w:t>
      </w:r>
      <w:r w:rsidR="00961EAC">
        <w:t xml:space="preserve">disconnection between the will and preferences of a resident </w:t>
      </w:r>
      <w:r w:rsidR="0045277A">
        <w:t xml:space="preserve">and </w:t>
      </w:r>
      <w:r w:rsidR="00AB1FD8">
        <w:t xml:space="preserve">the </w:t>
      </w:r>
      <w:r w:rsidR="0007672E">
        <w:t xml:space="preserve">organisational </w:t>
      </w:r>
      <w:r w:rsidR="0045277A">
        <w:t xml:space="preserve">policies </w:t>
      </w:r>
      <w:r w:rsidR="00476946">
        <w:t>imposed on them</w:t>
      </w:r>
      <w:r w:rsidR="003A6303">
        <w:t>.</w:t>
      </w:r>
      <w:r w:rsidR="006F1F4F">
        <w:t xml:space="preserve"> This is the case even </w:t>
      </w:r>
      <w:r w:rsidR="00A50F5B">
        <w:t xml:space="preserve">outside a public emergency. </w:t>
      </w:r>
      <w:r w:rsidR="002B0A7E">
        <w:t xml:space="preserve">This is yet another reason </w:t>
      </w:r>
      <w:r w:rsidR="00CF5228">
        <w:t>for people with disability to have real choice over where and how they live</w:t>
      </w:r>
      <w:r w:rsidR="00223956">
        <w:t xml:space="preserve"> – it would be easier to accept restrictions imposed to protect your co-residents if you had freely chosen to live with them.</w:t>
      </w:r>
    </w:p>
    <w:p w14:paraId="3C8086FD" w14:textId="77777777" w:rsidR="003B59FC" w:rsidRPr="00194A3C" w:rsidRDefault="003B59FC" w:rsidP="003B59FC">
      <w:pPr>
        <w:spacing w:line="276" w:lineRule="auto"/>
        <w:ind w:left="709"/>
        <w:rPr>
          <w:b/>
          <w:bCs/>
          <w:lang w:val="en-CA"/>
        </w:rPr>
      </w:pPr>
      <w:r w:rsidRPr="00194A3C">
        <w:rPr>
          <w:b/>
          <w:bCs/>
          <w:lang w:val="en-CA"/>
        </w:rPr>
        <w:t>Recommendation 4</w:t>
      </w:r>
    </w:p>
    <w:p w14:paraId="29C77D37" w14:textId="77777777" w:rsidR="003B59FC" w:rsidRPr="00194A3C" w:rsidRDefault="003B59FC" w:rsidP="003B59FC">
      <w:pPr>
        <w:spacing w:line="276" w:lineRule="auto"/>
        <w:ind w:left="709"/>
        <w:rPr>
          <w:b/>
          <w:bCs/>
          <w:lang w:val="en-CA"/>
        </w:rPr>
      </w:pPr>
      <w:r w:rsidRPr="00194A3C">
        <w:rPr>
          <w:b/>
          <w:bCs/>
          <w:lang w:val="en-CA"/>
        </w:rPr>
        <w:t>The NDIA should ensure people with disability (with the help of their supporters) have real choices when making housing decisions about where, how and with whom they live.</w:t>
      </w:r>
    </w:p>
    <w:p w14:paraId="63E6DB1D" w14:textId="3AFB859E" w:rsidR="00B54B13" w:rsidRPr="00BA315C" w:rsidRDefault="009C1F97" w:rsidP="00BA315C">
      <w:pPr>
        <w:pStyle w:val="Heading1OPA"/>
        <w:numPr>
          <w:ilvl w:val="0"/>
          <w:numId w:val="16"/>
        </w:numPr>
        <w:ind w:left="709" w:hanging="709"/>
        <w:rPr>
          <w:rFonts w:eastAsia="Times New Roman"/>
          <w:szCs w:val="32"/>
          <w:lang w:eastAsia="en-AU"/>
        </w:rPr>
      </w:pPr>
      <w:bookmarkStart w:id="15" w:name="_Toc46949132"/>
      <w:r>
        <w:t xml:space="preserve">The reality of </w:t>
      </w:r>
      <w:r w:rsidR="00B54B13">
        <w:t>public emergenc</w:t>
      </w:r>
      <w:r>
        <w:t>i</w:t>
      </w:r>
      <w:r w:rsidR="00B54B13">
        <w:t>es</w:t>
      </w:r>
      <w:r w:rsidR="00BF27B8">
        <w:t xml:space="preserve"> for people with disability</w:t>
      </w:r>
      <w:bookmarkEnd w:id="15"/>
    </w:p>
    <w:p w14:paraId="34AF18F6" w14:textId="302780AB" w:rsidR="00A5707F" w:rsidRDefault="00E507BD" w:rsidP="00C15F16">
      <w:pPr>
        <w:spacing w:line="276" w:lineRule="auto"/>
        <w:ind w:left="709"/>
      </w:pPr>
      <w:r>
        <w:t xml:space="preserve">Public emergencies bring </w:t>
      </w:r>
      <w:r w:rsidR="009C128E">
        <w:t xml:space="preserve">existing disadvantage into sharp focus. People with disability </w:t>
      </w:r>
      <w:r w:rsidR="0071740D">
        <w:t xml:space="preserve">who </w:t>
      </w:r>
      <w:r w:rsidR="00073049">
        <w:t xml:space="preserve">require community or disability services to support </w:t>
      </w:r>
      <w:r w:rsidR="00C8263C">
        <w:t>them to lead full lives</w:t>
      </w:r>
      <w:r w:rsidR="006D31B5">
        <w:t xml:space="preserve"> are more affected by </w:t>
      </w:r>
      <w:r w:rsidR="00364307">
        <w:t>constrained or confused service delivery and offerings during public emergencies.</w:t>
      </w:r>
      <w:r w:rsidR="00564CEF">
        <w:t xml:space="preserve"> </w:t>
      </w:r>
      <w:r w:rsidR="006F0B11">
        <w:t>People who do not require such supports</w:t>
      </w:r>
      <w:r w:rsidR="000934D9">
        <w:t xml:space="preserve"> </w:t>
      </w:r>
      <w:r w:rsidR="0002238B">
        <w:t xml:space="preserve">are significantly more likely to be able to </w:t>
      </w:r>
      <w:r w:rsidR="00DA004E">
        <w:t xml:space="preserve">successfully </w:t>
      </w:r>
      <w:r w:rsidR="0002238B">
        <w:t>navigate a</w:t>
      </w:r>
      <w:r w:rsidR="006F0B11">
        <w:t xml:space="preserve"> world impacted by a public emergency</w:t>
      </w:r>
      <w:r w:rsidR="00DA004E">
        <w:t xml:space="preserve"> and get their basic needs met.</w:t>
      </w:r>
      <w:r w:rsidR="006F0B11">
        <w:t xml:space="preserve"> </w:t>
      </w:r>
      <w:r w:rsidR="00564CEF">
        <w:t xml:space="preserve">As discussed above, </w:t>
      </w:r>
      <w:r w:rsidR="00A5707F">
        <w:t xml:space="preserve">this is due </w:t>
      </w:r>
      <w:r w:rsidR="00AE24D0">
        <w:t xml:space="preserve">to their reliance on </w:t>
      </w:r>
      <w:r w:rsidR="00E73DFB">
        <w:t>organisations with a variety of needs to balance</w:t>
      </w:r>
      <w:r w:rsidR="00FF1D93">
        <w:t xml:space="preserve"> (see </w:t>
      </w:r>
      <w:r w:rsidR="00FF1D93" w:rsidRPr="002C534D">
        <w:t>sections 3.2 and 3.3</w:t>
      </w:r>
      <w:r w:rsidR="00996F2F" w:rsidRPr="002C534D">
        <w:t xml:space="preserve"> and case below</w:t>
      </w:r>
      <w:r w:rsidR="002C534D" w:rsidRPr="002C534D">
        <w:t>)</w:t>
      </w:r>
      <w:r w:rsidR="00E73DFB" w:rsidRPr="002C534D">
        <w:t>.</w:t>
      </w:r>
      <w:r w:rsidR="00142F89" w:rsidRPr="002C534D">
        <w:t xml:space="preserve"> </w:t>
      </w:r>
      <w:r w:rsidR="00142F89">
        <w:t xml:space="preserve">Of course, people who were already struggling </w:t>
      </w:r>
      <w:r w:rsidR="003E060B">
        <w:t>with homelessness</w:t>
      </w:r>
      <w:r w:rsidR="00CB6118">
        <w:t>,</w:t>
      </w:r>
      <w:r w:rsidR="003E060B">
        <w:t xml:space="preserve"> </w:t>
      </w:r>
      <w:r w:rsidR="00E702B2">
        <w:t xml:space="preserve">health issues, </w:t>
      </w:r>
      <w:r w:rsidR="003E060B">
        <w:t>mental illness, social isolation</w:t>
      </w:r>
      <w:r w:rsidR="002B16D9">
        <w:t xml:space="preserve">, poverty </w:t>
      </w:r>
      <w:r w:rsidR="00E702B2">
        <w:t>or personal</w:t>
      </w:r>
      <w:r w:rsidR="002B16D9">
        <w:t xml:space="preserve"> safety</w:t>
      </w:r>
      <w:r w:rsidR="00E307AB">
        <w:t>, and who were not sufficiently linked in with services who could</w:t>
      </w:r>
      <w:r w:rsidR="00625578">
        <w:t xml:space="preserve"> help meet</w:t>
      </w:r>
      <w:r w:rsidR="00E307AB">
        <w:t xml:space="preserve"> the</w:t>
      </w:r>
      <w:r w:rsidR="00625578">
        <w:t>ir</w:t>
      </w:r>
      <w:r w:rsidR="00E307AB">
        <w:t xml:space="preserve"> basic needs</w:t>
      </w:r>
      <w:r w:rsidR="00625578">
        <w:t xml:space="preserve"> </w:t>
      </w:r>
      <w:r w:rsidR="00C13943">
        <w:t>would</w:t>
      </w:r>
      <w:r w:rsidR="00CB6118">
        <w:t xml:space="preserve"> likely</w:t>
      </w:r>
      <w:r w:rsidR="00C13943">
        <w:t xml:space="preserve"> be</w:t>
      </w:r>
      <w:r w:rsidR="00814C3B">
        <w:t>come</w:t>
      </w:r>
      <w:r w:rsidR="00C13943">
        <w:t xml:space="preserve"> </w:t>
      </w:r>
      <w:r w:rsidR="00CB6118">
        <w:t>even worse off</w:t>
      </w:r>
      <w:r w:rsidR="00814C3B">
        <w:t xml:space="preserve"> during an emergency</w:t>
      </w:r>
      <w:r w:rsidR="00CB6118">
        <w:t>.</w:t>
      </w:r>
      <w:r w:rsidR="00346085">
        <w:t xml:space="preserve"> </w:t>
      </w:r>
    </w:p>
    <w:p w14:paraId="08BA3356" w14:textId="2CB83C27" w:rsidR="002220E0" w:rsidRDefault="000156AF" w:rsidP="00C15F16">
      <w:pPr>
        <w:spacing w:line="276" w:lineRule="auto"/>
        <w:ind w:left="709"/>
      </w:pPr>
      <w:r>
        <w:t>To have one’s opportunities constrained by service provider decisions</w:t>
      </w:r>
      <w:r w:rsidR="006066DA">
        <w:t xml:space="preserve"> </w:t>
      </w:r>
      <w:r w:rsidR="00A81418">
        <w:t>may well be unavoidable</w:t>
      </w:r>
      <w:r w:rsidR="004141C8">
        <w:t xml:space="preserve"> during an emergency, wh</w:t>
      </w:r>
      <w:r w:rsidR="00CC19C7">
        <w:t>en one is less able to ‘vote with their feet’</w:t>
      </w:r>
      <w:r w:rsidR="000934E6">
        <w:t>, access advocates</w:t>
      </w:r>
      <w:r w:rsidR="00CC19C7">
        <w:t xml:space="preserve"> or have their complaints </w:t>
      </w:r>
      <w:r w:rsidR="000934E6">
        <w:t xml:space="preserve">properly </w:t>
      </w:r>
      <w:r w:rsidR="00CC19C7">
        <w:t>heard</w:t>
      </w:r>
      <w:r w:rsidR="00C16BA3">
        <w:t xml:space="preserve"> due to more pressing matters</w:t>
      </w:r>
      <w:r w:rsidR="00CC19C7">
        <w:t>.</w:t>
      </w:r>
      <w:r w:rsidR="00C16BA3">
        <w:t xml:space="preserve"> </w:t>
      </w:r>
      <w:r w:rsidR="00C320DB">
        <w:t>This is why a supportive</w:t>
      </w:r>
      <w:r w:rsidR="00FD7812">
        <w:t xml:space="preserve"> framework, which engages with the relevant laws and human </w:t>
      </w:r>
      <w:r w:rsidR="00C320DB">
        <w:t>rights</w:t>
      </w:r>
      <w:r w:rsidR="00EA7375">
        <w:t>, is recommended to assist organisations to make the best decisions possible</w:t>
      </w:r>
      <w:r w:rsidR="00EF457D">
        <w:t xml:space="preserve"> in difficult circumstances (see, for example, rec </w:t>
      </w:r>
      <w:r w:rsidR="000D7CDB">
        <w:t>3).</w:t>
      </w:r>
    </w:p>
    <w:p w14:paraId="32E872C5" w14:textId="6DCB4C3D" w:rsidR="00F67051" w:rsidRDefault="00F67051" w:rsidP="00C15F16">
      <w:pPr>
        <w:spacing w:line="276" w:lineRule="auto"/>
        <w:ind w:left="709"/>
      </w:pPr>
      <w:r>
        <w:t xml:space="preserve">OPA </w:t>
      </w:r>
      <w:r w:rsidR="00FC6D5A">
        <w:t>brings to the attention of the Royal Commission a statement by Empowered Lives</w:t>
      </w:r>
      <w:r w:rsidR="006259C6">
        <w:t xml:space="preserve">, ‘Supporting Victorians with a </w:t>
      </w:r>
      <w:r w:rsidR="008414C5">
        <w:t>d</w:t>
      </w:r>
      <w:r w:rsidR="006259C6">
        <w:t xml:space="preserve">isability </w:t>
      </w:r>
      <w:r w:rsidR="008414C5">
        <w:t>d</w:t>
      </w:r>
      <w:r w:rsidR="006259C6">
        <w:t>uring COVID</w:t>
      </w:r>
      <w:r w:rsidR="008414C5">
        <w:t>-19 restrictions’,</w:t>
      </w:r>
      <w:r w:rsidR="005029BF">
        <w:rPr>
          <w:rStyle w:val="FootnoteReference"/>
        </w:rPr>
        <w:footnoteReference w:id="15"/>
      </w:r>
      <w:r w:rsidR="008414C5">
        <w:t xml:space="preserve"> which was released in the week following Melbourne’s second lockdown period</w:t>
      </w:r>
      <w:r w:rsidR="00F90202">
        <w:t xml:space="preserve"> and </w:t>
      </w:r>
      <w:r w:rsidR="00646999">
        <w:t xml:space="preserve">provides further detail on </w:t>
      </w:r>
      <w:r w:rsidR="00646999">
        <w:lastRenderedPageBreak/>
        <w:t xml:space="preserve">many </w:t>
      </w:r>
      <w:r w:rsidR="00F90202">
        <w:t>of the impacts on people with disability mentioned above</w:t>
      </w:r>
      <w:r w:rsidR="00646999">
        <w:t>. The statement also includes a call to action, which OPA recommends to the Royal Commission.</w:t>
      </w:r>
      <w:r w:rsidR="000856AA">
        <w:rPr>
          <w:rStyle w:val="FootnoteReference"/>
        </w:rPr>
        <w:footnoteReference w:id="16"/>
      </w:r>
    </w:p>
    <w:p w14:paraId="35DCFA40" w14:textId="5709B4F3" w:rsidR="00875ADC" w:rsidRDefault="00AB241A" w:rsidP="00875ADC">
      <w:pPr>
        <w:pStyle w:val="Heading2OPA"/>
        <w:numPr>
          <w:ilvl w:val="1"/>
          <w:numId w:val="16"/>
        </w:numPr>
        <w:ind w:left="709" w:hanging="709"/>
      </w:pPr>
      <w:bookmarkStart w:id="16" w:name="_Toc46949133"/>
      <w:r>
        <w:t>No a</w:t>
      </w:r>
      <w:r w:rsidR="00F1395E">
        <w:t xml:space="preserve">lternative accommodation </w:t>
      </w:r>
      <w:r>
        <w:t>in</w:t>
      </w:r>
      <w:r w:rsidR="00F1395E">
        <w:t xml:space="preserve"> a crisis</w:t>
      </w:r>
      <w:bookmarkEnd w:id="16"/>
    </w:p>
    <w:p w14:paraId="466BCAD4" w14:textId="0E7EB72F" w:rsidR="00B31727" w:rsidRDefault="00185FED" w:rsidP="00C15F16">
      <w:pPr>
        <w:spacing w:line="276" w:lineRule="auto"/>
        <w:ind w:left="709"/>
      </w:pPr>
      <w:r>
        <w:t>However, a</w:t>
      </w:r>
      <w:r w:rsidR="002220E0">
        <w:t xml:space="preserve">nother </w:t>
      </w:r>
      <w:r w:rsidR="00815870">
        <w:t>plank to enable better, less risky</w:t>
      </w:r>
      <w:r>
        <w:t xml:space="preserve"> outcomes</w:t>
      </w:r>
      <w:r w:rsidR="00C320DB">
        <w:t xml:space="preserve"> </w:t>
      </w:r>
      <w:r>
        <w:t xml:space="preserve">is </w:t>
      </w:r>
      <w:r w:rsidR="009C6E21">
        <w:t xml:space="preserve">definitely </w:t>
      </w:r>
      <w:r>
        <w:t>needed.</w:t>
      </w:r>
      <w:r w:rsidR="00F7154D">
        <w:t xml:space="preserve"> </w:t>
      </w:r>
      <w:r w:rsidR="00F80E1D">
        <w:t>Many of the problems that occur for people with disability</w:t>
      </w:r>
      <w:r w:rsidR="00BB425D">
        <w:t xml:space="preserve"> revolve around </w:t>
      </w:r>
      <w:r w:rsidR="0090670F">
        <w:t>the lack of availability of a</w:t>
      </w:r>
      <w:r w:rsidR="00825807">
        <w:t>n appropriate and accessible</w:t>
      </w:r>
      <w:r w:rsidR="0090670F">
        <w:t xml:space="preserve"> </w:t>
      </w:r>
      <w:r w:rsidR="00BB425D">
        <w:t xml:space="preserve">backup </w:t>
      </w:r>
      <w:r w:rsidR="0090670F">
        <w:t xml:space="preserve">service or accommodation </w:t>
      </w:r>
      <w:r w:rsidR="00BB425D">
        <w:t>option.</w:t>
      </w:r>
      <w:r w:rsidR="005C4252">
        <w:t xml:space="preserve"> </w:t>
      </w:r>
      <w:r w:rsidR="00DE1D4E">
        <w:t xml:space="preserve">OPA has long advocated for </w:t>
      </w:r>
      <w:r w:rsidR="008D7CB6">
        <w:t>housing and services of last resort options for people with complex needs</w:t>
      </w:r>
      <w:r w:rsidR="0078240B">
        <w:t xml:space="preserve">, particularly those people whose behaviours of concern might threaten existing </w:t>
      </w:r>
      <w:r w:rsidR="00BE5AF4">
        <w:t xml:space="preserve">care </w:t>
      </w:r>
      <w:r w:rsidR="0078240B">
        <w:t>arrangements</w:t>
      </w:r>
      <w:r w:rsidR="00FE04A5">
        <w:t>.</w:t>
      </w:r>
      <w:r w:rsidR="00CA4813">
        <w:t xml:space="preserve"> </w:t>
      </w:r>
    </w:p>
    <w:p w14:paraId="32F2832B" w14:textId="225743D5" w:rsidR="002E3161" w:rsidRDefault="00CA4813" w:rsidP="00C15F16">
      <w:pPr>
        <w:spacing w:line="276" w:lineRule="auto"/>
        <w:ind w:left="709"/>
      </w:pPr>
      <w:r>
        <w:t xml:space="preserve">During COVID-19 the </w:t>
      </w:r>
      <w:r w:rsidR="00FF4634">
        <w:t xml:space="preserve">lack of </w:t>
      </w:r>
      <w:r w:rsidR="00CE1562">
        <w:t xml:space="preserve">initial </w:t>
      </w:r>
      <w:r w:rsidR="00FF4634">
        <w:t xml:space="preserve">clear fall-back service options and living arrangements have been a source of stress for </w:t>
      </w:r>
      <w:r w:rsidR="00B31727">
        <w:t xml:space="preserve">many </w:t>
      </w:r>
      <w:r w:rsidR="00FF4634">
        <w:t>people with disabilit</w:t>
      </w:r>
      <w:r w:rsidR="00B31727">
        <w:t>y</w:t>
      </w:r>
      <w:r w:rsidR="00FF4634">
        <w:t xml:space="preserve"> and their families</w:t>
      </w:r>
      <w:r w:rsidR="00415F62">
        <w:t xml:space="preserve"> as they worried what might happen </w:t>
      </w:r>
      <w:r w:rsidR="0070040A">
        <w:t>i</w:t>
      </w:r>
      <w:r w:rsidR="00415F62">
        <w:t>f an outbreak occurred in their facility.</w:t>
      </w:r>
      <w:r w:rsidR="0070040A">
        <w:t xml:space="preserve"> </w:t>
      </w:r>
      <w:r w:rsidR="00F16B67">
        <w:t xml:space="preserve">OPA’s legal </w:t>
      </w:r>
      <w:r w:rsidR="00396408">
        <w:t>unit wrestled with the meaning of the CHO directions</w:t>
      </w:r>
      <w:r w:rsidR="00677CC6">
        <w:t xml:space="preserve"> in relation to the legal grounds for </w:t>
      </w:r>
      <w:r w:rsidR="00AA7230">
        <w:t xml:space="preserve">testing and detaining close contacts of a ‘known case’ who lived or worked </w:t>
      </w:r>
      <w:r w:rsidR="0021543B">
        <w:t xml:space="preserve">in a group home. </w:t>
      </w:r>
      <w:r w:rsidR="0046106C">
        <w:t xml:space="preserve">Community Visitors and Volunteer Programs staff </w:t>
      </w:r>
      <w:r w:rsidR="00D567C6">
        <w:t>were also very concerned, especially for the wellbeing and safety of people in SRSs.</w:t>
      </w:r>
      <w:r w:rsidR="004D273B">
        <w:t xml:space="preserve"> </w:t>
      </w:r>
      <w:r w:rsidR="00D82D9D">
        <w:t xml:space="preserve">The fact that the State Government </w:t>
      </w:r>
      <w:r w:rsidR="00962C21">
        <w:t xml:space="preserve">has </w:t>
      </w:r>
      <w:r w:rsidR="004D273B">
        <w:t>established a specialist team</w:t>
      </w:r>
      <w:r w:rsidR="00985AEE">
        <w:t xml:space="preserve"> who would be involved in responding to outbreaks, </w:t>
      </w:r>
      <w:r w:rsidR="00610217">
        <w:t>which included trained nurses and</w:t>
      </w:r>
      <w:r w:rsidR="00C15BAC">
        <w:t xml:space="preserve"> </w:t>
      </w:r>
      <w:r w:rsidR="00610217">
        <w:t>infection control specialists</w:t>
      </w:r>
      <w:r w:rsidR="00C15BAC">
        <w:t xml:space="preserve">, </w:t>
      </w:r>
      <w:r w:rsidR="0067454E">
        <w:t xml:space="preserve">was </w:t>
      </w:r>
      <w:r w:rsidR="00227A0C">
        <w:t>very assuring</w:t>
      </w:r>
      <w:r w:rsidR="0067454E">
        <w:t xml:space="preserve">. </w:t>
      </w:r>
      <w:r w:rsidR="001752CA">
        <w:t xml:space="preserve">The CHO told OPA that this team would be </w:t>
      </w:r>
      <w:r w:rsidR="00FA62C8">
        <w:t xml:space="preserve">OPA’s </w:t>
      </w:r>
      <w:r w:rsidR="003539AF">
        <w:t xml:space="preserve">go-to </w:t>
      </w:r>
      <w:r w:rsidR="00FA62C8">
        <w:t xml:space="preserve">in the event of an outbreak </w:t>
      </w:r>
      <w:r w:rsidR="009806E9">
        <w:t xml:space="preserve">that impacted OPA clients, and that they would provide guidance on the </w:t>
      </w:r>
      <w:r w:rsidR="00D02A36">
        <w:t xml:space="preserve">complex legal and practical questions </w:t>
      </w:r>
      <w:r w:rsidR="009806E9">
        <w:t>that would eventuate.</w:t>
      </w:r>
      <w:r w:rsidR="00D92229">
        <w:t xml:space="preserve"> </w:t>
      </w:r>
      <w:r w:rsidR="00C023DA">
        <w:t>D</w:t>
      </w:r>
      <w:r w:rsidR="00D910C0">
        <w:t xml:space="preserve">isability advocates were </w:t>
      </w:r>
      <w:r w:rsidR="00C023DA">
        <w:t xml:space="preserve">further </w:t>
      </w:r>
      <w:r w:rsidR="00D910C0">
        <w:t xml:space="preserve">informed that </w:t>
      </w:r>
      <w:r w:rsidR="00D92229">
        <w:t>the</w:t>
      </w:r>
      <w:r w:rsidR="00C15BAC">
        <w:t xml:space="preserve"> government</w:t>
      </w:r>
      <w:r w:rsidR="00D92229">
        <w:t xml:space="preserve"> had </w:t>
      </w:r>
      <w:r w:rsidR="00C15BAC">
        <w:t xml:space="preserve">also </w:t>
      </w:r>
      <w:r w:rsidR="00D92229">
        <w:t xml:space="preserve">repurposed empty facilities to </w:t>
      </w:r>
      <w:r w:rsidR="00653AE2">
        <w:t>relocate people with disability to</w:t>
      </w:r>
      <w:r w:rsidR="002177CF">
        <w:t xml:space="preserve"> in the event of an outbreak</w:t>
      </w:r>
      <w:r w:rsidR="00CC6DA0">
        <w:t xml:space="preserve">. This </w:t>
      </w:r>
      <w:r w:rsidR="00A17BD2">
        <w:t xml:space="preserve">helped reassure some </w:t>
      </w:r>
      <w:r w:rsidR="00E82341">
        <w:t>groups</w:t>
      </w:r>
      <w:r w:rsidR="004266F1">
        <w:t xml:space="preserve"> </w:t>
      </w:r>
      <w:r w:rsidR="00A17BD2">
        <w:t>that people with di</w:t>
      </w:r>
      <w:r w:rsidR="004266F1">
        <w:t>s</w:t>
      </w:r>
      <w:r w:rsidR="00A17BD2">
        <w:t>ability would be taken care of</w:t>
      </w:r>
      <w:r w:rsidR="004266F1">
        <w:t>.</w:t>
      </w:r>
      <w:r w:rsidR="00D67B6E">
        <w:t xml:space="preserve"> Others were worried that </w:t>
      </w:r>
      <w:r w:rsidR="00F96232">
        <w:t xml:space="preserve">people with disability who had tested positive to COVID-19 would </w:t>
      </w:r>
      <w:r w:rsidR="0096239E">
        <w:t>be potentially sharing this facility with close contacts who were required to undergo isolation</w:t>
      </w:r>
      <w:r w:rsidR="00E428C1">
        <w:t>, exposing them to more risk of contracting the disease.</w:t>
      </w:r>
    </w:p>
    <w:p w14:paraId="7A4C997C" w14:textId="5EB65735" w:rsidR="00895672" w:rsidRDefault="0074490F" w:rsidP="00895672">
      <w:pPr>
        <w:spacing w:line="276" w:lineRule="auto"/>
        <w:ind w:left="709"/>
      </w:pPr>
      <w:r>
        <w:t>P</w:t>
      </w:r>
      <w:r w:rsidR="001F3B28">
        <w:t xml:space="preserve">roviding </w:t>
      </w:r>
      <w:r w:rsidR="00346CB0">
        <w:t>clear</w:t>
      </w:r>
      <w:r w:rsidR="001F3B28">
        <w:t xml:space="preserve"> public</w:t>
      </w:r>
      <w:r w:rsidR="00346CB0">
        <w:t xml:space="preserve"> guidance on the options available to the </w:t>
      </w:r>
      <w:r w:rsidR="005F418B">
        <w:t xml:space="preserve">specialist team and their </w:t>
      </w:r>
      <w:r w:rsidR="001F3B28">
        <w:t xml:space="preserve">key </w:t>
      </w:r>
      <w:r w:rsidR="001F6E84">
        <w:t xml:space="preserve">decision-making </w:t>
      </w:r>
      <w:r w:rsidR="001F3B28">
        <w:t xml:space="preserve">frameworks </w:t>
      </w:r>
      <w:r w:rsidR="00E94A01">
        <w:t>could have</w:t>
      </w:r>
      <w:r w:rsidR="00421C1B">
        <w:t xml:space="preserve"> benefitted people with disability, allaying their fears and </w:t>
      </w:r>
      <w:r w:rsidR="00E706C0">
        <w:t>ensuring they felt considered and cared for.</w:t>
      </w:r>
      <w:r w:rsidR="00BD15F3">
        <w:t xml:space="preserve"> Indeed</w:t>
      </w:r>
      <w:r w:rsidR="00997A19">
        <w:t>, our COVID responses will likely be in place for some time to come</w:t>
      </w:r>
      <w:r w:rsidR="004D2DFE">
        <w:t>. OPA recommends th</w:t>
      </w:r>
      <w:r w:rsidR="005057F4">
        <w:t>at</w:t>
      </w:r>
      <w:r w:rsidR="004D2DFE">
        <w:t xml:space="preserve"> public guidance</w:t>
      </w:r>
      <w:r w:rsidR="00D810AA">
        <w:t xml:space="preserve"> and easy English guidance on the </w:t>
      </w:r>
      <w:r w:rsidR="00DA03CC">
        <w:t xml:space="preserve">framework in place to safely manage </w:t>
      </w:r>
      <w:r w:rsidR="008835FD">
        <w:t>outbreaks</w:t>
      </w:r>
      <w:r w:rsidR="005057F4">
        <w:t xml:space="preserve"> be developed and released</w:t>
      </w:r>
      <w:r w:rsidR="00A66B96">
        <w:t xml:space="preserve"> as soon as possible</w:t>
      </w:r>
      <w:r w:rsidR="00804E19">
        <w:t>.</w:t>
      </w:r>
      <w:r w:rsidR="00CE1562">
        <w:t xml:space="preserve"> </w:t>
      </w:r>
    </w:p>
    <w:p w14:paraId="1FCE6374" w14:textId="7136EEA8" w:rsidR="00895672" w:rsidRDefault="00CE1562" w:rsidP="00895672">
      <w:pPr>
        <w:spacing w:line="276" w:lineRule="auto"/>
        <w:ind w:left="709"/>
      </w:pPr>
      <w:r>
        <w:t>OPA notes here a NDIS Commission</w:t>
      </w:r>
      <w:r w:rsidR="00895672">
        <w:t xml:space="preserve"> resource</w:t>
      </w:r>
      <w:r w:rsidR="0004045B">
        <w:t xml:space="preserve"> </w:t>
      </w:r>
      <w:r w:rsidR="00895672" w:rsidRPr="000D18EE">
        <w:rPr>
          <w:i/>
        </w:rPr>
        <w:t>Coronavirus (COVID-19): Outbreak preparedness, prevention and management</w:t>
      </w:r>
      <w:r w:rsidR="00895672">
        <w:t xml:space="preserve">. The resource is intended to support registered providers to understand how to: ensure their workers take reasonable precautions to protect people with disability and themselves, prepare for an outbreak of COVID-19, respond to suspected or confirmed cases in different types of service settings and manage an outbreak of COVID-19. The resource directs providers to review </w:t>
      </w:r>
      <w:r w:rsidR="00895672" w:rsidRPr="000D18EE">
        <w:rPr>
          <w:i/>
        </w:rPr>
        <w:t>National guidelines for the prevention, control and public health management of COVID-19 outbreaks in residential settings</w:t>
      </w:r>
      <w:r w:rsidR="00895672">
        <w:t xml:space="preserve"> (Communicable Diseases Network Australia).</w:t>
      </w:r>
    </w:p>
    <w:p w14:paraId="6BA4B771" w14:textId="77777777" w:rsidR="003B59FC" w:rsidRPr="00194A3C" w:rsidRDefault="003B59FC" w:rsidP="003B59FC">
      <w:pPr>
        <w:spacing w:line="276" w:lineRule="auto"/>
        <w:ind w:left="709"/>
        <w:rPr>
          <w:b/>
          <w:bCs/>
        </w:rPr>
      </w:pPr>
      <w:r w:rsidRPr="00194A3C">
        <w:rPr>
          <w:b/>
          <w:bCs/>
        </w:rPr>
        <w:lastRenderedPageBreak/>
        <w:t>Recommendation 5</w:t>
      </w:r>
    </w:p>
    <w:p w14:paraId="291E4D68" w14:textId="77777777" w:rsidR="003B59FC" w:rsidRPr="00194A3C" w:rsidRDefault="003B59FC" w:rsidP="003B59FC">
      <w:pPr>
        <w:spacing w:line="276" w:lineRule="auto"/>
        <w:ind w:left="709"/>
        <w:rPr>
          <w:b/>
          <w:bCs/>
        </w:rPr>
      </w:pPr>
      <w:r w:rsidRPr="00194A3C">
        <w:rPr>
          <w:b/>
          <w:bCs/>
        </w:rPr>
        <w:t>Easy English and plain English guidance should be developed as a matter of urgency to help allay the fears of people living in congregate care facilities about what will happen to them if an outbreak occurs in their home.</w:t>
      </w:r>
    </w:p>
    <w:p w14:paraId="5C50C409" w14:textId="10AA04BA" w:rsidR="00366518" w:rsidRDefault="00A109EE" w:rsidP="00366518">
      <w:pPr>
        <w:spacing w:line="276" w:lineRule="auto"/>
        <w:ind w:left="709"/>
      </w:pPr>
      <w:r>
        <w:t xml:space="preserve">Guidance </w:t>
      </w:r>
      <w:r w:rsidR="00B1306B">
        <w:t xml:space="preserve">for disability residential service providers, including SDA, </w:t>
      </w:r>
      <w:r w:rsidR="00CD52E5">
        <w:t xml:space="preserve">on how to </w:t>
      </w:r>
      <w:r w:rsidR="00EE3EB1">
        <w:t>make decisions about support</w:t>
      </w:r>
      <w:r w:rsidR="00594447">
        <w:t>ing</w:t>
      </w:r>
      <w:r w:rsidR="00EE3EB1">
        <w:t xml:space="preserve"> </w:t>
      </w:r>
      <w:r w:rsidR="00CD52E5">
        <w:t xml:space="preserve">a resident </w:t>
      </w:r>
      <w:r w:rsidR="00EE3EB1">
        <w:t>who needed to</w:t>
      </w:r>
      <w:r w:rsidR="00CD52E5">
        <w:t xml:space="preserve"> self-isolate</w:t>
      </w:r>
      <w:r>
        <w:t>, was released by DHHS in May 2020</w:t>
      </w:r>
      <w:r w:rsidR="00CD52E5">
        <w:t>.</w:t>
      </w:r>
      <w:r w:rsidR="004A1D18">
        <w:rPr>
          <w:rStyle w:val="FootnoteReference"/>
        </w:rPr>
        <w:footnoteReference w:id="17"/>
      </w:r>
      <w:r w:rsidR="00CD52E5">
        <w:t xml:space="preserve"> </w:t>
      </w:r>
      <w:r w:rsidR="00594447">
        <w:t>The guide highlights</w:t>
      </w:r>
      <w:r w:rsidR="00DF63D5">
        <w:t xml:space="preserve"> </w:t>
      </w:r>
      <w:r w:rsidR="003F1CB6">
        <w:t xml:space="preserve">two </w:t>
      </w:r>
      <w:r w:rsidR="00B65A6B">
        <w:t xml:space="preserve">issues OPA seeks to highlight that </w:t>
      </w:r>
      <w:r w:rsidR="00E90288">
        <w:t>have impacted the lives of people living in such settings</w:t>
      </w:r>
      <w:r w:rsidR="000A21CE">
        <w:t xml:space="preserve"> during a public emergency.</w:t>
      </w:r>
      <w:r w:rsidR="00B47AA4">
        <w:t xml:space="preserve"> The first, the </w:t>
      </w:r>
      <w:r w:rsidR="00906EE0">
        <w:t>lack of an easy English publication to accompany this document</w:t>
      </w:r>
      <w:r w:rsidR="00CB37C2">
        <w:t>,</w:t>
      </w:r>
      <w:r w:rsidR="00B47AA4">
        <w:t xml:space="preserve"> is highlighted above.</w:t>
      </w:r>
      <w:r w:rsidR="00CB37C2">
        <w:t xml:space="preserve"> The second is that </w:t>
      </w:r>
      <w:r w:rsidR="00F0600F">
        <w:t xml:space="preserve">the </w:t>
      </w:r>
      <w:r w:rsidR="00914AD1">
        <w:t xml:space="preserve">guidance fails to engage with the reality of the sector when it comes to </w:t>
      </w:r>
      <w:r w:rsidR="00DF506D">
        <w:t>alternative accommodation options for people living in congregate care, especially those w</w:t>
      </w:r>
      <w:r w:rsidR="00FB0CE7">
        <w:t>ho need to reside in ‘robust’ accommodation.</w:t>
      </w:r>
      <w:r w:rsidR="0055537D">
        <w:t xml:space="preserve"> </w:t>
      </w:r>
      <w:r w:rsidR="00250129">
        <w:t>The reality</w:t>
      </w:r>
      <w:r w:rsidR="00713EC5">
        <w:t xml:space="preserve"> of the sector is that alternative and crisis accommodation options are </w:t>
      </w:r>
      <w:r w:rsidR="00C42DA6">
        <w:t xml:space="preserve">scarce, and that individual </w:t>
      </w:r>
      <w:r w:rsidR="003804BF">
        <w:t xml:space="preserve">disability </w:t>
      </w:r>
      <w:r w:rsidR="00C42DA6">
        <w:t xml:space="preserve">accommodation providers </w:t>
      </w:r>
      <w:r w:rsidR="00D9001C">
        <w:t>are not resourced to</w:t>
      </w:r>
      <w:r w:rsidR="00C42DA6">
        <w:t xml:space="preserve"> bear the burden of </w:t>
      </w:r>
      <w:r w:rsidR="00D9001C">
        <w:t xml:space="preserve">emergency </w:t>
      </w:r>
      <w:r w:rsidR="003804BF">
        <w:t xml:space="preserve">(or any) </w:t>
      </w:r>
      <w:r w:rsidR="00945827">
        <w:t>relocati</w:t>
      </w:r>
      <w:r w:rsidR="00D9001C">
        <w:t xml:space="preserve">ons. </w:t>
      </w:r>
      <w:r w:rsidR="0055537D">
        <w:t xml:space="preserve">The flowchart in this </w:t>
      </w:r>
      <w:r w:rsidR="00341DA3">
        <w:t>publication</w:t>
      </w:r>
      <w:r w:rsidR="00AC0863">
        <w:t>, which discusses</w:t>
      </w:r>
      <w:r w:rsidR="009E06C9">
        <w:t xml:space="preserve"> what should happen to the various groups of people </w:t>
      </w:r>
      <w:r w:rsidR="00380B91">
        <w:t xml:space="preserve">with disability </w:t>
      </w:r>
      <w:r w:rsidR="007C54FC">
        <w:t xml:space="preserve">who will need to self-isolate and the services and asset issues that would make this difficult in </w:t>
      </w:r>
      <w:r w:rsidR="00380B91">
        <w:t xml:space="preserve">their usual residence, </w:t>
      </w:r>
      <w:r w:rsidR="00366518">
        <w:t xml:space="preserve">ends with the following statement: </w:t>
      </w:r>
    </w:p>
    <w:p w14:paraId="7AD57E39" w14:textId="32C41013" w:rsidR="00154A8A" w:rsidRPr="00366518" w:rsidRDefault="00366518" w:rsidP="00837C45">
      <w:pPr>
        <w:spacing w:line="276" w:lineRule="auto"/>
        <w:ind w:left="1440"/>
      </w:pPr>
      <w:r>
        <w:t>‘</w:t>
      </w:r>
      <w:r w:rsidR="00154A8A">
        <w:rPr>
          <w:color w:val="000000" w:themeColor="text1"/>
          <w:kern w:val="24"/>
        </w:rPr>
        <w:t>New external accommodation options sourced by provider suitable for effective isolation, supported by some existing staff. May include repurposing of existing provider managed facilities (e.g. empty STAA facilities)</w:t>
      </w:r>
      <w:r>
        <w:rPr>
          <w:color w:val="000000" w:themeColor="text1"/>
          <w:kern w:val="24"/>
        </w:rPr>
        <w:t>’</w:t>
      </w:r>
      <w:r w:rsidR="00393A59">
        <w:rPr>
          <w:rStyle w:val="FootnoteReference"/>
          <w:color w:val="000000" w:themeColor="text1"/>
          <w:kern w:val="24"/>
        </w:rPr>
        <w:footnoteReference w:id="18"/>
      </w:r>
    </w:p>
    <w:p w14:paraId="3509DC22" w14:textId="77777777" w:rsidR="00211538" w:rsidRDefault="00B20233" w:rsidP="00C15F16">
      <w:pPr>
        <w:spacing w:line="276" w:lineRule="auto"/>
        <w:ind w:left="709"/>
      </w:pPr>
      <w:r>
        <w:t xml:space="preserve">This statement ignores the reality of </w:t>
      </w:r>
      <w:r w:rsidR="00C41442">
        <w:t xml:space="preserve">the independent and private providers of </w:t>
      </w:r>
      <w:r w:rsidR="00E126EC">
        <w:t>disability residential services who make up the bulk of providers in this cohort</w:t>
      </w:r>
      <w:r w:rsidR="00E512E3">
        <w:t>. Very few of these providers would have the resources</w:t>
      </w:r>
      <w:r w:rsidR="00484173">
        <w:t xml:space="preserve"> to offer their residents alternative accommodation. Without the State Government </w:t>
      </w:r>
      <w:r w:rsidR="00C12BF9">
        <w:t>stepping in to offer access to alternative accommodation</w:t>
      </w:r>
      <w:r w:rsidR="00E34169">
        <w:t xml:space="preserve"> to those who had nowhere else to live</w:t>
      </w:r>
      <w:r w:rsidR="00AF1538">
        <w:t xml:space="preserve"> </w:t>
      </w:r>
      <w:r w:rsidR="00E34169">
        <w:t>(</w:t>
      </w:r>
      <w:r w:rsidR="00AF1538">
        <w:t>as they did prior to the NDIS</w:t>
      </w:r>
      <w:r w:rsidR="00E34169">
        <w:t>)</w:t>
      </w:r>
      <w:r w:rsidR="00AF1538">
        <w:t xml:space="preserve"> </w:t>
      </w:r>
      <w:r w:rsidR="00D563DA">
        <w:t>or state or federal funding of motel or other alternative accommodation</w:t>
      </w:r>
      <w:r w:rsidR="00084F90">
        <w:t xml:space="preserve"> </w:t>
      </w:r>
      <w:r w:rsidR="00B14B09">
        <w:t>(</w:t>
      </w:r>
      <w:r w:rsidR="00084F90">
        <w:t>if this would work for the particular client facing isolation</w:t>
      </w:r>
      <w:r w:rsidR="00B14B09">
        <w:t xml:space="preserve">) this guidance </w:t>
      </w:r>
      <w:r w:rsidR="00F716C3">
        <w:t>would not</w:t>
      </w:r>
      <w:r w:rsidR="00293A21">
        <w:t xml:space="preserve"> </w:t>
      </w:r>
      <w:r w:rsidR="0004695D">
        <w:t>be feasible advice to</w:t>
      </w:r>
      <w:r w:rsidR="00522514">
        <w:t xml:space="preserve"> most </w:t>
      </w:r>
      <w:r w:rsidR="0004695D">
        <w:t>providers</w:t>
      </w:r>
      <w:r w:rsidR="00F716C3">
        <w:t>.</w:t>
      </w:r>
      <w:r w:rsidR="00B318E6">
        <w:t xml:space="preserve"> </w:t>
      </w:r>
    </w:p>
    <w:p w14:paraId="14E4F394" w14:textId="7FC58438" w:rsidR="003D37E3" w:rsidRDefault="00B318E6" w:rsidP="00D109C3">
      <w:pPr>
        <w:spacing w:line="276" w:lineRule="auto"/>
        <w:ind w:left="709"/>
      </w:pPr>
      <w:r w:rsidRPr="0056152D">
        <w:t xml:space="preserve">The lack of engagement with this </w:t>
      </w:r>
      <w:r w:rsidR="00211538" w:rsidRPr="0056152D">
        <w:t xml:space="preserve">issue in the document highlights </w:t>
      </w:r>
      <w:r w:rsidR="003C0964" w:rsidRPr="0056152D">
        <w:t>what has been seen much more clearly under the pressures of COVID-19</w:t>
      </w:r>
      <w:r w:rsidR="00F253AE" w:rsidRPr="0056152D">
        <w:t>: who is ultimately responsible for ensuring vulnera</w:t>
      </w:r>
      <w:r w:rsidR="00942664" w:rsidRPr="0056152D">
        <w:t xml:space="preserve">ble </w:t>
      </w:r>
      <w:r w:rsidR="00F253AE" w:rsidRPr="0056152D">
        <w:t>people</w:t>
      </w:r>
      <w:r w:rsidR="00942664" w:rsidRPr="0056152D">
        <w:t xml:space="preserve"> are housed and cared for? This question remains </w:t>
      </w:r>
      <w:r w:rsidR="00546618" w:rsidRPr="0056152D">
        <w:t xml:space="preserve">even where public emergencies </w:t>
      </w:r>
      <w:r w:rsidR="002E3EDE" w:rsidRPr="0056152D">
        <w:t>end.</w:t>
      </w:r>
      <w:r w:rsidR="00F253AE" w:rsidRPr="0056152D">
        <w:t xml:space="preserve"> </w:t>
      </w:r>
      <w:r w:rsidR="0010568C" w:rsidRPr="0056152D">
        <w:t>A</w:t>
      </w:r>
      <w:r w:rsidR="00780B77" w:rsidRPr="0056152D">
        <w:t xml:space="preserve"> public emergency, however, </w:t>
      </w:r>
      <w:r w:rsidR="0010568C" w:rsidRPr="0056152D">
        <w:t xml:space="preserve">clearly demonstrates </w:t>
      </w:r>
      <w:r w:rsidR="00780B77" w:rsidRPr="0056152D">
        <w:t xml:space="preserve">the </w:t>
      </w:r>
      <w:r w:rsidR="002423AD" w:rsidRPr="0056152D">
        <w:t>need for</w:t>
      </w:r>
      <w:r w:rsidR="000979B4" w:rsidRPr="0056152D">
        <w:t xml:space="preserve"> disability services to have</w:t>
      </w:r>
      <w:r w:rsidR="002423AD" w:rsidRPr="0056152D">
        <w:t xml:space="preserve"> provider of last resort capacity</w:t>
      </w:r>
      <w:r w:rsidR="003917E0">
        <w:t>.</w:t>
      </w:r>
    </w:p>
    <w:p w14:paraId="3C35DB23" w14:textId="300CFA5B" w:rsidR="00B67D47" w:rsidRDefault="00680E1A" w:rsidP="00C15F16">
      <w:pPr>
        <w:spacing w:line="276" w:lineRule="auto"/>
        <w:ind w:left="709"/>
      </w:pPr>
      <w:r>
        <w:t>The following story exemplifies</w:t>
      </w:r>
      <w:r w:rsidR="00C122A5">
        <w:t xml:space="preserve"> the additional risks th</w:t>
      </w:r>
      <w:r w:rsidR="000465B4">
        <w:t>at</w:t>
      </w:r>
      <w:r w:rsidR="00C122A5">
        <w:t xml:space="preserve"> accrue to people with disability </w:t>
      </w:r>
      <w:r w:rsidR="0076714E">
        <w:t xml:space="preserve">who live in a residential service without a plan </w:t>
      </w:r>
      <w:r w:rsidR="003B3538">
        <w:t>for relocation in a crisis.</w:t>
      </w:r>
      <w:r w:rsidR="00676B81">
        <w:t xml:space="preserve"> It also highlights the balancing of risk</w:t>
      </w:r>
      <w:r w:rsidR="004F5A15">
        <w:t>s</w:t>
      </w:r>
      <w:r w:rsidR="00676B81">
        <w:t xml:space="preserve"> that can occur in a crisis, that could be allayed by earlier planning.</w:t>
      </w:r>
    </w:p>
    <w:p w14:paraId="3D55E15A" w14:textId="53CA6886" w:rsidR="008B3BC8" w:rsidRPr="0056152D" w:rsidRDefault="00FB62A1" w:rsidP="00AC2867">
      <w:pPr>
        <w:spacing w:line="276" w:lineRule="auto"/>
        <w:ind w:left="1440"/>
      </w:pPr>
      <w:r>
        <w:t xml:space="preserve">During </w:t>
      </w:r>
      <w:r w:rsidR="00FC27E1">
        <w:t xml:space="preserve">the 2019-2020 </w:t>
      </w:r>
      <w:r w:rsidR="00E456DD">
        <w:t>bushfires</w:t>
      </w:r>
      <w:r w:rsidR="00FC27E1">
        <w:t xml:space="preserve">, one </w:t>
      </w:r>
      <w:r w:rsidR="00717BB5">
        <w:t>community</w:t>
      </w:r>
      <w:r w:rsidR="0088705B">
        <w:t xml:space="preserve"> found itself under threat from fires bur</w:t>
      </w:r>
      <w:r w:rsidR="00891052">
        <w:t>n</w:t>
      </w:r>
      <w:r w:rsidR="0088705B">
        <w:t>ing</w:t>
      </w:r>
      <w:r w:rsidR="00891052">
        <w:t xml:space="preserve"> in nearby bushland</w:t>
      </w:r>
      <w:r w:rsidR="000F7A73">
        <w:t xml:space="preserve">. While </w:t>
      </w:r>
      <w:r w:rsidR="00AA5A98">
        <w:t>the general community was instructed to evacuate from their homes</w:t>
      </w:r>
      <w:r w:rsidR="00741869">
        <w:t xml:space="preserve"> and seek shelter elsewhere</w:t>
      </w:r>
      <w:r w:rsidR="00C46E75">
        <w:t xml:space="preserve">, people with disability living in </w:t>
      </w:r>
      <w:r w:rsidR="003A66CE">
        <w:t xml:space="preserve">disability residential care </w:t>
      </w:r>
      <w:r w:rsidR="00E549EE">
        <w:t>boarded a bus and drove to the nearby shopping district</w:t>
      </w:r>
      <w:r w:rsidR="008F57D4">
        <w:t xml:space="preserve"> where they sat in the bus, waiting for </w:t>
      </w:r>
      <w:r w:rsidR="00BF7D65">
        <w:t xml:space="preserve">hours for </w:t>
      </w:r>
      <w:r w:rsidR="008F57D4">
        <w:t>the threat to pass</w:t>
      </w:r>
      <w:r w:rsidR="00983859">
        <w:t>.</w:t>
      </w:r>
      <w:r w:rsidR="00071D56">
        <w:t xml:space="preserve"> </w:t>
      </w:r>
      <w:r w:rsidR="00D97201">
        <w:t>Another person</w:t>
      </w:r>
      <w:r w:rsidR="00C14A97">
        <w:t xml:space="preserve"> </w:t>
      </w:r>
      <w:r w:rsidR="00C14A97">
        <w:lastRenderedPageBreak/>
        <w:t>with disability</w:t>
      </w:r>
      <w:r w:rsidR="00D97201">
        <w:t xml:space="preserve">, </w:t>
      </w:r>
      <w:r w:rsidR="00F04ADA">
        <w:t>who lived alone with 24/7 staffing and who</w:t>
      </w:r>
      <w:r w:rsidR="00D97201">
        <w:t xml:space="preserve"> </w:t>
      </w:r>
      <w:r w:rsidR="00C14A97">
        <w:t>was known to have significant behaviours of concern</w:t>
      </w:r>
      <w:r w:rsidR="00726544">
        <w:t xml:space="preserve">, was not evacuated. </w:t>
      </w:r>
      <w:r w:rsidR="00676B81">
        <w:t xml:space="preserve">The plan was </w:t>
      </w:r>
      <w:r w:rsidR="00AE7B2C">
        <w:t xml:space="preserve">for </w:t>
      </w:r>
      <w:r w:rsidR="00676B81">
        <w:t>t</w:t>
      </w:r>
      <w:r w:rsidR="00505595">
        <w:t xml:space="preserve">hat person </w:t>
      </w:r>
      <w:r w:rsidR="00676B81">
        <w:t xml:space="preserve">to remain </w:t>
      </w:r>
      <w:r w:rsidR="00505595">
        <w:t xml:space="preserve">in their </w:t>
      </w:r>
      <w:r w:rsidR="005E4855">
        <w:t xml:space="preserve">home </w:t>
      </w:r>
      <w:r w:rsidR="00676B81">
        <w:t>until evacuation was necessary</w:t>
      </w:r>
      <w:r w:rsidR="009F548E">
        <w:t xml:space="preserve">. Emergency management personnel onsite </w:t>
      </w:r>
      <w:r w:rsidR="00F36FBD">
        <w:t>chose to leave their evacuation to the last possible moment</w:t>
      </w:r>
      <w:r w:rsidR="0054122E">
        <w:t xml:space="preserve"> rather than evacuate </w:t>
      </w:r>
      <w:r w:rsidR="00AF2D5D">
        <w:t>them to a local hospital</w:t>
      </w:r>
      <w:r w:rsidR="004520BE">
        <w:t xml:space="preserve"> as a precautionary measure</w:t>
      </w:r>
      <w:r w:rsidR="00AF2D5D">
        <w:t>, which was the alternate accommodation option</w:t>
      </w:r>
      <w:r w:rsidR="009F548E">
        <w:t xml:space="preserve"> </w:t>
      </w:r>
      <w:r w:rsidR="00F952E4">
        <w:t xml:space="preserve">available </w:t>
      </w:r>
      <w:r w:rsidR="00F952E4" w:rsidRPr="0056152D">
        <w:t>to them at the time.</w:t>
      </w:r>
      <w:r w:rsidR="0056152D">
        <w:rPr>
          <w:rStyle w:val="FootnoteReference"/>
        </w:rPr>
        <w:footnoteReference w:id="19"/>
      </w:r>
    </w:p>
    <w:p w14:paraId="1EFE04FE" w14:textId="148ACBEC" w:rsidR="00703060" w:rsidRDefault="00572DFF" w:rsidP="00C15F16">
      <w:pPr>
        <w:spacing w:line="276" w:lineRule="auto"/>
        <w:ind w:left="709"/>
      </w:pPr>
      <w:r>
        <w:t>This story</w:t>
      </w:r>
      <w:r w:rsidR="00C67921">
        <w:t xml:space="preserve"> highlights the </w:t>
      </w:r>
      <w:r w:rsidR="00E80277">
        <w:t xml:space="preserve">additional and disproportionate risks borne by people </w:t>
      </w:r>
      <w:r w:rsidR="00BB26AA">
        <w:t xml:space="preserve">living in disability residential services, who have </w:t>
      </w:r>
      <w:r w:rsidR="00513995">
        <w:t>no clear alternative accommodation options available to them</w:t>
      </w:r>
      <w:r w:rsidR="00E024C0">
        <w:t>.</w:t>
      </w:r>
      <w:r w:rsidR="00894743">
        <w:t xml:space="preserve"> </w:t>
      </w:r>
      <w:r w:rsidR="006150DB">
        <w:t xml:space="preserve">These </w:t>
      </w:r>
      <w:r w:rsidR="00EF2254">
        <w:t xml:space="preserve">potentially </w:t>
      </w:r>
      <w:r w:rsidR="006150DB">
        <w:t xml:space="preserve">include </w:t>
      </w:r>
      <w:r w:rsidR="00F74234">
        <w:t xml:space="preserve">delayed evacuations contributing to </w:t>
      </w:r>
      <w:r w:rsidR="009E1E9A">
        <w:t>an increased risk t</w:t>
      </w:r>
      <w:r w:rsidR="002A2DA6">
        <w:t xml:space="preserve">o </w:t>
      </w:r>
      <w:r w:rsidR="006150DB">
        <w:t>their</w:t>
      </w:r>
      <w:r w:rsidR="002A2DA6">
        <w:t xml:space="preserve"> personal safety</w:t>
      </w:r>
      <w:r w:rsidR="00F74234">
        <w:t>,</w:t>
      </w:r>
      <w:r w:rsidR="00495DA0">
        <w:t xml:space="preserve"> as well as abuse</w:t>
      </w:r>
      <w:r w:rsidR="0024133D">
        <w:t xml:space="preserve"> and neglect </w:t>
      </w:r>
      <w:r w:rsidR="005F1FCB">
        <w:t xml:space="preserve">during the restrictive intervention </w:t>
      </w:r>
      <w:r w:rsidR="0024133D">
        <w:t xml:space="preserve">of </w:t>
      </w:r>
      <w:r w:rsidR="002E114F">
        <w:t xml:space="preserve">detaining them on a bus (instead of taking them to a safe community setting or other </w:t>
      </w:r>
      <w:r w:rsidR="00852DDC">
        <w:t>respite service)</w:t>
      </w:r>
      <w:r w:rsidR="00D51E0A">
        <w:t>.</w:t>
      </w:r>
      <w:r w:rsidR="00676B81">
        <w:t xml:space="preserve"> </w:t>
      </w:r>
    </w:p>
    <w:p w14:paraId="7CEAA8B3" w14:textId="14434ABD" w:rsidR="009E08BE" w:rsidRDefault="009E08BE" w:rsidP="00C15F16">
      <w:pPr>
        <w:spacing w:line="276" w:lineRule="auto"/>
        <w:ind w:left="709"/>
      </w:pPr>
      <w:r>
        <w:t>OPA recognise</w:t>
      </w:r>
      <w:r w:rsidR="00470EC7">
        <w:t>s</w:t>
      </w:r>
      <w:r>
        <w:t xml:space="preserve"> that the decision to delay the evacuation </w:t>
      </w:r>
      <w:r w:rsidR="002928E7">
        <w:t xml:space="preserve">of the individual </w:t>
      </w:r>
      <w:r w:rsidR="00470EC7">
        <w:t xml:space="preserve">with behaviours of concern </w:t>
      </w:r>
      <w:r w:rsidR="002928E7">
        <w:t xml:space="preserve">may well have been the best one at the time given the </w:t>
      </w:r>
      <w:r w:rsidR="00470EC7">
        <w:t xml:space="preserve">alternative accommodation </w:t>
      </w:r>
      <w:r w:rsidR="002928E7">
        <w:t>options available to them</w:t>
      </w:r>
      <w:r w:rsidR="00676B81">
        <w:t xml:space="preserve">, given also the unclear and inconsistent way the person may have responded to this particular situation. </w:t>
      </w:r>
      <w:r w:rsidR="00C07676">
        <w:t xml:space="preserve">However, OPA points out that if </w:t>
      </w:r>
      <w:r w:rsidR="00F262A0">
        <w:t>robust build respite accommo</w:t>
      </w:r>
      <w:r w:rsidR="00687651">
        <w:t>dation had been available (as we have previously recommended)</w:t>
      </w:r>
      <w:r w:rsidR="0041596B">
        <w:t xml:space="preserve"> then the risks and benefits of moving the individual may have shifted.</w:t>
      </w:r>
    </w:p>
    <w:p w14:paraId="00E65B85" w14:textId="77777777" w:rsidR="003B59FC" w:rsidRPr="00194A3C" w:rsidRDefault="003B59FC" w:rsidP="003B59FC">
      <w:pPr>
        <w:spacing w:line="276" w:lineRule="auto"/>
        <w:ind w:left="709"/>
        <w:rPr>
          <w:b/>
          <w:bCs/>
        </w:rPr>
      </w:pPr>
      <w:r w:rsidRPr="00194A3C">
        <w:rPr>
          <w:b/>
          <w:bCs/>
        </w:rPr>
        <w:t>Recommendation 6</w:t>
      </w:r>
    </w:p>
    <w:p w14:paraId="2051B0A5" w14:textId="77777777" w:rsidR="003B59FC" w:rsidRPr="00194A3C" w:rsidRDefault="003B59FC" w:rsidP="003B59FC">
      <w:pPr>
        <w:spacing w:line="276" w:lineRule="auto"/>
        <w:ind w:left="709"/>
        <w:rPr>
          <w:b/>
          <w:bCs/>
        </w:rPr>
      </w:pPr>
      <w:r w:rsidRPr="00194A3C">
        <w:rPr>
          <w:b/>
          <w:bCs/>
        </w:rPr>
        <w:t>The NDIA should fund the development of robustly built disability respite accommodation to ensure the safety and wellbeing of people with disability who need this type of accommodation in a crisis.</w:t>
      </w:r>
    </w:p>
    <w:p w14:paraId="64AAAF69" w14:textId="194A11F4" w:rsidR="00D21474" w:rsidRDefault="00D21474" w:rsidP="00D21474">
      <w:pPr>
        <w:pStyle w:val="Heading2OPA"/>
        <w:numPr>
          <w:ilvl w:val="1"/>
          <w:numId w:val="16"/>
        </w:numPr>
        <w:ind w:left="709" w:hanging="709"/>
      </w:pPr>
      <w:bookmarkStart w:id="17" w:name="_Toc46949134"/>
      <w:r>
        <w:t xml:space="preserve">Homelessness </w:t>
      </w:r>
      <w:r w:rsidR="002930E8">
        <w:t>and the pandemic</w:t>
      </w:r>
      <w:bookmarkEnd w:id="17"/>
    </w:p>
    <w:p w14:paraId="3D5F8A61" w14:textId="01E70DDD" w:rsidR="00CA2A51" w:rsidRDefault="00373298" w:rsidP="00C15F16">
      <w:pPr>
        <w:spacing w:line="276" w:lineRule="auto"/>
        <w:ind w:left="709"/>
      </w:pPr>
      <w:r>
        <w:t>The Victorian State Government’s response to addressing homelessness during the pandemic</w:t>
      </w:r>
      <w:r w:rsidR="00467026">
        <w:t xml:space="preserve"> </w:t>
      </w:r>
      <w:r w:rsidR="00FB154E">
        <w:t xml:space="preserve">has been </w:t>
      </w:r>
      <w:r w:rsidR="00E326C3">
        <w:t>very effective</w:t>
      </w:r>
      <w:r w:rsidR="005319F3">
        <w:t xml:space="preserve">, perhaps </w:t>
      </w:r>
      <w:r w:rsidR="0033231B">
        <w:t>crossing into territory that would previously have been considered too difficult</w:t>
      </w:r>
      <w:r w:rsidR="00D61A1B">
        <w:t xml:space="preserve">. </w:t>
      </w:r>
      <w:r w:rsidR="00DA3A62">
        <w:t>This</w:t>
      </w:r>
      <w:r w:rsidR="00D7123D">
        <w:t xml:space="preserve"> is understandable as part of the nationwide public health response</w:t>
      </w:r>
      <w:r w:rsidR="00FD28C9">
        <w:t xml:space="preserve">, as people who are homeless are clearly unable to obey ‘stay at home’ orders and </w:t>
      </w:r>
      <w:r w:rsidR="00636D4E">
        <w:t xml:space="preserve">would therefore have increased the number of people </w:t>
      </w:r>
      <w:r w:rsidR="00411702">
        <w:t xml:space="preserve">in the community </w:t>
      </w:r>
      <w:r w:rsidR="00EC6843">
        <w:t>who were mobile and potentially able to transmit the virus to others.</w:t>
      </w:r>
    </w:p>
    <w:p w14:paraId="79FCB3FD" w14:textId="63D11317" w:rsidR="00F8673F" w:rsidRDefault="00A426A8" w:rsidP="00C15F16">
      <w:pPr>
        <w:spacing w:line="276" w:lineRule="auto"/>
        <w:ind w:left="709"/>
      </w:pPr>
      <w:r w:rsidRPr="00574A6C">
        <w:t xml:space="preserve">OPA </w:t>
      </w:r>
      <w:r w:rsidR="007432E6" w:rsidRPr="00574A6C">
        <w:t>notes that many homeless Victorians</w:t>
      </w:r>
      <w:r w:rsidR="00FF6370" w:rsidRPr="00574A6C">
        <w:t xml:space="preserve"> living on the streets were moved by the government into hotels</w:t>
      </w:r>
      <w:r w:rsidR="00764612" w:rsidRPr="00574A6C">
        <w:t xml:space="preserve"> to help mitigate the spread of the virus.</w:t>
      </w:r>
      <w:r w:rsidR="000D47B0" w:rsidRPr="00574A6C">
        <w:t xml:space="preserve"> </w:t>
      </w:r>
      <w:r w:rsidR="00A17E8A" w:rsidRPr="00574A6C">
        <w:t xml:space="preserve">Like advocacy and support agencies working in the homelessness sector, </w:t>
      </w:r>
      <w:r w:rsidR="000D47B0" w:rsidRPr="00574A6C">
        <w:t xml:space="preserve">OPA </w:t>
      </w:r>
      <w:r w:rsidR="00A17E8A" w:rsidRPr="00574A6C">
        <w:t xml:space="preserve">was </w:t>
      </w:r>
      <w:r w:rsidR="000D47B0" w:rsidRPr="00574A6C">
        <w:t xml:space="preserve">concerned that </w:t>
      </w:r>
      <w:r w:rsidR="00C33FFE" w:rsidRPr="00574A6C">
        <w:t xml:space="preserve">no plan </w:t>
      </w:r>
      <w:r w:rsidR="00A17E8A" w:rsidRPr="00574A6C">
        <w:t xml:space="preserve">had </w:t>
      </w:r>
      <w:r w:rsidR="00C33FFE" w:rsidRPr="00574A6C">
        <w:t xml:space="preserve">been shared </w:t>
      </w:r>
      <w:r w:rsidR="00C72125" w:rsidRPr="00574A6C">
        <w:t>about how the government plans to transition these people out of hotels when</w:t>
      </w:r>
      <w:r w:rsidR="0088726E" w:rsidRPr="00574A6C">
        <w:t xml:space="preserve"> the threat has passed. </w:t>
      </w:r>
      <w:r w:rsidR="00A17E8A" w:rsidRPr="00574A6C">
        <w:t>OPA notes the government has recently extended current hotel accommodation until at least April 202</w:t>
      </w:r>
      <w:r w:rsidR="002A1BE4">
        <w:t>1</w:t>
      </w:r>
      <w:r w:rsidR="00A17E8A" w:rsidRPr="00574A6C">
        <w:t xml:space="preserve">, which OPA, and the </w:t>
      </w:r>
      <w:r w:rsidR="00D04F98" w:rsidRPr="00574A6C">
        <w:t xml:space="preserve">key peak body </w:t>
      </w:r>
      <w:r w:rsidR="00A17E8A" w:rsidRPr="00574A6C">
        <w:t>Council to Homeless Persons, welcomes.</w:t>
      </w:r>
      <w:r w:rsidR="00A17E8A" w:rsidRPr="00574A6C">
        <w:rPr>
          <w:rStyle w:val="FootnoteReference"/>
        </w:rPr>
        <w:footnoteReference w:id="20"/>
      </w:r>
      <w:r w:rsidR="00A17E8A" w:rsidRPr="00574A6C">
        <w:t xml:space="preserve"> </w:t>
      </w:r>
    </w:p>
    <w:p w14:paraId="11EBE00D" w14:textId="5BB12E41" w:rsidR="004322D4" w:rsidRPr="00FD443F" w:rsidRDefault="00996DCA" w:rsidP="00C15F16">
      <w:pPr>
        <w:spacing w:line="276" w:lineRule="auto"/>
        <w:ind w:left="709"/>
      </w:pPr>
      <w:r>
        <w:t xml:space="preserve">We know that homelessness disproportionately </w:t>
      </w:r>
      <w:r w:rsidR="007C1C20">
        <w:t xml:space="preserve">affects people with psychosocial disability, and that homelessness </w:t>
      </w:r>
      <w:r w:rsidR="00BE4BA5">
        <w:t xml:space="preserve">negatively impacts </w:t>
      </w:r>
      <w:r w:rsidR="00785407">
        <w:t>people’s</w:t>
      </w:r>
      <w:r w:rsidR="00BE4BA5">
        <w:t xml:space="preserve"> health and safety outcomes</w:t>
      </w:r>
      <w:r w:rsidR="00785407">
        <w:t>.</w:t>
      </w:r>
      <w:r w:rsidR="00B47E19">
        <w:t xml:space="preserve"> </w:t>
      </w:r>
      <w:r w:rsidR="00130E34">
        <w:t xml:space="preserve">It is </w:t>
      </w:r>
      <w:r w:rsidR="00130E34">
        <w:lastRenderedPageBreak/>
        <w:t xml:space="preserve">difficult to hear that </w:t>
      </w:r>
      <w:r w:rsidR="001D1DE6">
        <w:t xml:space="preserve">housing people is a priority </w:t>
      </w:r>
      <w:r w:rsidR="00890289" w:rsidRPr="00FD443F">
        <w:t xml:space="preserve">(and doable) </w:t>
      </w:r>
      <w:r w:rsidR="00AC4BFF" w:rsidRPr="00FD443F">
        <w:t>in a time of public health crisis but not at other times</w:t>
      </w:r>
      <w:r w:rsidR="00FD443F">
        <w:t>.</w:t>
      </w:r>
      <w:r w:rsidR="00A17E8A">
        <w:t xml:space="preserve"> </w:t>
      </w:r>
    </w:p>
    <w:p w14:paraId="617B5C57" w14:textId="3BC9D39D" w:rsidR="00996DCA" w:rsidRDefault="004322D4" w:rsidP="00C15F16">
      <w:pPr>
        <w:spacing w:line="276" w:lineRule="auto"/>
        <w:ind w:left="709"/>
      </w:pPr>
      <w:r>
        <w:t xml:space="preserve">The Commission’s brief is to enhance </w:t>
      </w:r>
      <w:r w:rsidR="00C51CF6">
        <w:t xml:space="preserve">social </w:t>
      </w:r>
      <w:r>
        <w:t>protections to prevent abuse, violence</w:t>
      </w:r>
      <w:r w:rsidR="00C51CF6">
        <w:t>, neglect and exploitation of people with disability.</w:t>
      </w:r>
      <w:r w:rsidR="00785407">
        <w:t xml:space="preserve"> </w:t>
      </w:r>
      <w:r w:rsidR="000C00B5">
        <w:t>While neglect is usually narrowly interpreted</w:t>
      </w:r>
      <w:r w:rsidR="00BB0205">
        <w:t xml:space="preserve"> as </w:t>
      </w:r>
      <w:r w:rsidR="00C60F69">
        <w:t xml:space="preserve">occurring in a relationship between individuals, OPA suggests that homelessness </w:t>
      </w:r>
      <w:r w:rsidR="0090043A">
        <w:t xml:space="preserve">among people with disability </w:t>
      </w:r>
      <w:r w:rsidR="00C60F69">
        <w:t>is an instance of systemic neglect</w:t>
      </w:r>
      <w:r w:rsidR="003B45B8">
        <w:t xml:space="preserve"> that bears investigation</w:t>
      </w:r>
      <w:r w:rsidR="0090043A">
        <w:t>.</w:t>
      </w:r>
    </w:p>
    <w:p w14:paraId="48C800E8" w14:textId="2EF099E9" w:rsidR="0072641F" w:rsidRPr="00B16D22" w:rsidRDefault="005F6493" w:rsidP="00C15F16">
      <w:pPr>
        <w:spacing w:line="276" w:lineRule="auto"/>
        <w:ind w:left="709"/>
        <w:rPr>
          <w:b/>
          <w:bCs/>
        </w:rPr>
      </w:pPr>
      <w:r w:rsidRPr="00B16D22">
        <w:rPr>
          <w:b/>
          <w:bCs/>
        </w:rPr>
        <w:t xml:space="preserve">Recommendation </w:t>
      </w:r>
      <w:r w:rsidR="00A72EBB">
        <w:rPr>
          <w:b/>
          <w:bCs/>
        </w:rPr>
        <w:t>7</w:t>
      </w:r>
    </w:p>
    <w:p w14:paraId="68BD07BC" w14:textId="329CEDAF" w:rsidR="005F6493" w:rsidRPr="00B16D22" w:rsidRDefault="00AA58D6" w:rsidP="00C15F16">
      <w:pPr>
        <w:spacing w:line="276" w:lineRule="auto"/>
        <w:ind w:left="709"/>
        <w:rPr>
          <w:b/>
          <w:bCs/>
        </w:rPr>
      </w:pPr>
      <w:r w:rsidRPr="00B16D22">
        <w:rPr>
          <w:b/>
          <w:bCs/>
        </w:rPr>
        <w:t>G</w:t>
      </w:r>
      <w:r w:rsidR="00CB78AD" w:rsidRPr="00B16D22">
        <w:rPr>
          <w:b/>
          <w:bCs/>
        </w:rPr>
        <w:t>overnment response</w:t>
      </w:r>
      <w:r w:rsidR="005002F4" w:rsidRPr="00B16D22">
        <w:rPr>
          <w:b/>
          <w:bCs/>
        </w:rPr>
        <w:t>s</w:t>
      </w:r>
      <w:r w:rsidR="00CB78AD" w:rsidRPr="00B16D22">
        <w:rPr>
          <w:b/>
          <w:bCs/>
        </w:rPr>
        <w:t xml:space="preserve"> to homelessness </w:t>
      </w:r>
      <w:r w:rsidRPr="00B16D22">
        <w:rPr>
          <w:b/>
          <w:bCs/>
        </w:rPr>
        <w:t xml:space="preserve">should be developed that incorporate </w:t>
      </w:r>
      <w:r w:rsidR="00142FF0" w:rsidRPr="00B16D22">
        <w:rPr>
          <w:b/>
          <w:bCs/>
        </w:rPr>
        <w:t xml:space="preserve">lessons from </w:t>
      </w:r>
      <w:r w:rsidRPr="00B16D22">
        <w:rPr>
          <w:b/>
          <w:bCs/>
        </w:rPr>
        <w:t xml:space="preserve">the </w:t>
      </w:r>
      <w:r w:rsidR="00F211DB" w:rsidRPr="00B16D22">
        <w:rPr>
          <w:b/>
          <w:bCs/>
        </w:rPr>
        <w:t xml:space="preserve">special homelessness measures </w:t>
      </w:r>
      <w:r w:rsidR="00332CFD" w:rsidRPr="00B16D22">
        <w:rPr>
          <w:b/>
          <w:bCs/>
        </w:rPr>
        <w:t>enacted during the COVID-19 pandemic</w:t>
      </w:r>
      <w:r w:rsidR="00336FC7" w:rsidRPr="00B16D22">
        <w:rPr>
          <w:b/>
          <w:bCs/>
        </w:rPr>
        <w:t>.</w:t>
      </w:r>
      <w:r w:rsidR="00CB78AD" w:rsidRPr="00B16D22">
        <w:rPr>
          <w:b/>
          <w:bCs/>
        </w:rPr>
        <w:t xml:space="preserve"> </w:t>
      </w:r>
    </w:p>
    <w:p w14:paraId="5D143FB9" w14:textId="35C808F1" w:rsidR="003838CF" w:rsidRDefault="003838CF" w:rsidP="003838CF">
      <w:pPr>
        <w:pStyle w:val="Heading2OPA"/>
        <w:numPr>
          <w:ilvl w:val="1"/>
          <w:numId w:val="16"/>
        </w:numPr>
        <w:ind w:left="709" w:hanging="709"/>
      </w:pPr>
      <w:bookmarkStart w:id="18" w:name="_Toc46949135"/>
      <w:r>
        <w:t xml:space="preserve">People </w:t>
      </w:r>
      <w:r w:rsidR="00553B79">
        <w:t xml:space="preserve">with disability living </w:t>
      </w:r>
      <w:r>
        <w:t>in poverty</w:t>
      </w:r>
      <w:bookmarkEnd w:id="18"/>
    </w:p>
    <w:p w14:paraId="593EA3EA" w14:textId="363ED7AE" w:rsidR="0072641F" w:rsidRDefault="00715D08" w:rsidP="00C15F16">
      <w:pPr>
        <w:spacing w:line="276" w:lineRule="auto"/>
        <w:ind w:left="709"/>
      </w:pPr>
      <w:r>
        <w:t>T</w:t>
      </w:r>
      <w:r w:rsidR="007A669B">
        <w:t>he cost of living for people with disability is</w:t>
      </w:r>
      <w:r w:rsidR="001620DE">
        <w:t xml:space="preserve"> significantly higher than for those without</w:t>
      </w:r>
      <w:r w:rsidR="00ED38A4">
        <w:t>. Nevertheless, when</w:t>
      </w:r>
      <w:r w:rsidR="0061327A">
        <w:t>, during COVID-19, the Australian Government decided to double JobSeeker payments</w:t>
      </w:r>
      <w:r w:rsidR="00D87828">
        <w:t xml:space="preserve"> </w:t>
      </w:r>
      <w:r w:rsidR="00A310A4">
        <w:t>(</w:t>
      </w:r>
      <w:r w:rsidR="00D87828">
        <w:t>and bring in JobKeeper</w:t>
      </w:r>
      <w:r w:rsidR="00A310A4">
        <w:t>)</w:t>
      </w:r>
      <w:r w:rsidR="00D87828">
        <w:t xml:space="preserve"> to help many Australians </w:t>
      </w:r>
      <w:r w:rsidR="00794C64">
        <w:t xml:space="preserve">(individuals and businesses) </w:t>
      </w:r>
      <w:r w:rsidR="00C34E0B">
        <w:t xml:space="preserve">to </w:t>
      </w:r>
      <w:r w:rsidR="00D55A1D">
        <w:t xml:space="preserve">financially </w:t>
      </w:r>
      <w:r w:rsidR="00C34E0B">
        <w:t xml:space="preserve">survive the </w:t>
      </w:r>
      <w:r w:rsidR="005B2F5D">
        <w:t>economic downturn</w:t>
      </w:r>
      <w:r w:rsidR="00A310A4">
        <w:t>,</w:t>
      </w:r>
      <w:r w:rsidR="00320C2C">
        <w:t xml:space="preserve"> they did not increase the Disability Support Pension nor the Carer</w:t>
      </w:r>
      <w:r w:rsidR="00726668">
        <w:t xml:space="preserve"> </w:t>
      </w:r>
      <w:r w:rsidR="0002455A">
        <w:t>Allowance</w:t>
      </w:r>
      <w:r w:rsidR="00F62616">
        <w:t xml:space="preserve"> or Payment</w:t>
      </w:r>
      <w:r w:rsidR="00726668">
        <w:t>.</w:t>
      </w:r>
      <w:r w:rsidR="0082474E">
        <w:t xml:space="preserve"> </w:t>
      </w:r>
      <w:r w:rsidR="00ED5C44">
        <w:t>Centrelink did pay first and second Economic Support Payments (COVID-19 economic response) to people on these allowances, but note they also went to people on JobSeeker</w:t>
      </w:r>
      <w:r w:rsidR="001945E9">
        <w:t>.</w:t>
      </w:r>
    </w:p>
    <w:p w14:paraId="6BACF308" w14:textId="6BBFED52" w:rsidR="001945E9" w:rsidRDefault="00B05E5F" w:rsidP="00C15F16">
      <w:pPr>
        <w:spacing w:line="276" w:lineRule="auto"/>
        <w:ind w:left="709"/>
      </w:pPr>
      <w:r>
        <w:t xml:space="preserve">Poverty is </w:t>
      </w:r>
      <w:r w:rsidR="00DB1575">
        <w:t xml:space="preserve">a known risk factor for a range of </w:t>
      </w:r>
      <w:r w:rsidR="007D1904">
        <w:t xml:space="preserve">negative </w:t>
      </w:r>
      <w:r w:rsidR="00DB1575">
        <w:t>health</w:t>
      </w:r>
      <w:r w:rsidR="007D1904">
        <w:t>, justice</w:t>
      </w:r>
      <w:r w:rsidR="00DB1575">
        <w:t xml:space="preserve"> and education outcomes, including for children living in those households.</w:t>
      </w:r>
      <w:r>
        <w:t xml:space="preserve"> </w:t>
      </w:r>
      <w:r w:rsidR="009E7DE1">
        <w:t xml:space="preserve">Poverty also can contribute to </w:t>
      </w:r>
      <w:r w:rsidR="006D4BE5">
        <w:t xml:space="preserve">experiences of social isolation and financial stressors </w:t>
      </w:r>
      <w:r w:rsidR="005B6AFC">
        <w:t>can have serious mental health implications.</w:t>
      </w:r>
    </w:p>
    <w:p w14:paraId="1F69252F" w14:textId="1ECAEDFD" w:rsidR="00096B5C" w:rsidRPr="00F614D9" w:rsidRDefault="00D876B7" w:rsidP="005B4484">
      <w:pPr>
        <w:spacing w:line="276" w:lineRule="auto"/>
        <w:ind w:left="709"/>
      </w:pPr>
      <w:r w:rsidRPr="00F614D9">
        <w:t xml:space="preserve">Addressing these systemic issues </w:t>
      </w:r>
      <w:r w:rsidR="004C7327" w:rsidRPr="00F614D9">
        <w:t xml:space="preserve">is </w:t>
      </w:r>
      <w:r w:rsidR="003B1816" w:rsidRPr="00F614D9">
        <w:t>central to</w:t>
      </w:r>
      <w:r w:rsidR="00D64499" w:rsidRPr="00F614D9">
        <w:t xml:space="preserve"> </w:t>
      </w:r>
      <w:r w:rsidR="002C4F4F" w:rsidRPr="00F614D9">
        <w:t xml:space="preserve">providing people with disability the protection from </w:t>
      </w:r>
      <w:r w:rsidR="00474A66" w:rsidRPr="00F614D9">
        <w:t>neglect and abuse</w:t>
      </w:r>
      <w:r w:rsidR="0009775A" w:rsidRPr="00F614D9">
        <w:t xml:space="preserve"> that they deserve</w:t>
      </w:r>
      <w:r w:rsidR="00474A66" w:rsidRPr="00F614D9">
        <w:t xml:space="preserve">. </w:t>
      </w:r>
      <w:r w:rsidR="00F819B0" w:rsidRPr="00F614D9">
        <w:t xml:space="preserve">These </w:t>
      </w:r>
      <w:r w:rsidR="0009775A" w:rsidRPr="00F614D9">
        <w:t xml:space="preserve">systemic </w:t>
      </w:r>
      <w:r w:rsidR="00F819B0" w:rsidRPr="00F614D9">
        <w:t>gaps need to be filled by better access to temporary crisis accommodation, enhanced access to social and public housing (including by building more stock), and income subsidies that raise people with disability out of poverty.</w:t>
      </w:r>
      <w:r w:rsidR="005B4484" w:rsidRPr="00F614D9">
        <w:t xml:space="preserve"> </w:t>
      </w:r>
      <w:r w:rsidR="00474A66" w:rsidRPr="00F614D9">
        <w:t xml:space="preserve">The onus is on government to </w:t>
      </w:r>
      <w:r w:rsidR="0018389E" w:rsidRPr="00F614D9">
        <w:t xml:space="preserve">plan ahead and prevent, as far as possible, the disproportionate impacts we see accruing to people with disability during </w:t>
      </w:r>
      <w:r w:rsidR="00F25676" w:rsidRPr="00F614D9">
        <w:t>public emergencies.</w:t>
      </w:r>
    </w:p>
    <w:p w14:paraId="0EC5C801" w14:textId="6C298440" w:rsidR="00AA7F86" w:rsidRPr="00B13112" w:rsidRDefault="0019438C" w:rsidP="00B13112">
      <w:pPr>
        <w:pStyle w:val="Heading1OPA"/>
        <w:numPr>
          <w:ilvl w:val="0"/>
          <w:numId w:val="16"/>
        </w:numPr>
        <w:ind w:left="709" w:hanging="709"/>
        <w:rPr>
          <w:rFonts w:eastAsia="Times New Roman"/>
          <w:szCs w:val="32"/>
          <w:lang w:eastAsia="en-AU"/>
        </w:rPr>
      </w:pPr>
      <w:bookmarkStart w:id="19" w:name="_Toc46949136"/>
      <w:r>
        <w:t>A</w:t>
      </w:r>
      <w:r w:rsidR="00AA7F86">
        <w:t xml:space="preserve">ccessing disability services </w:t>
      </w:r>
      <w:r w:rsidR="00272A98">
        <w:t xml:space="preserve">during </w:t>
      </w:r>
      <w:r w:rsidR="00F44591">
        <w:t>a public emergency</w:t>
      </w:r>
      <w:bookmarkEnd w:id="19"/>
    </w:p>
    <w:p w14:paraId="0D1B1D72" w14:textId="2F154A7D" w:rsidR="008C10CA" w:rsidRDefault="00E162BB" w:rsidP="00AA7F86">
      <w:pPr>
        <w:spacing w:line="276" w:lineRule="auto"/>
        <w:ind w:left="709"/>
      </w:pPr>
      <w:r>
        <w:t xml:space="preserve">Disability services in Australia have become </w:t>
      </w:r>
      <w:r w:rsidR="007414D3">
        <w:t>increasingly</w:t>
      </w:r>
      <w:r>
        <w:t xml:space="preserve"> diversified</w:t>
      </w:r>
      <w:r w:rsidR="007414D3">
        <w:t xml:space="preserve"> in offerings and ownership since the introduction of the NDIS.</w:t>
      </w:r>
      <w:r w:rsidR="00266299">
        <w:t xml:space="preserve"> </w:t>
      </w:r>
      <w:r w:rsidR="00967F77">
        <w:t xml:space="preserve">This has been a good thing for many </w:t>
      </w:r>
      <w:r w:rsidR="00926EEA">
        <w:t>Australians</w:t>
      </w:r>
      <w:r w:rsidR="00967F77">
        <w:t xml:space="preserve"> with disability, particularly </w:t>
      </w:r>
      <w:r w:rsidR="00926EEA">
        <w:t xml:space="preserve">for </w:t>
      </w:r>
      <w:r w:rsidR="00967F77">
        <w:t xml:space="preserve">those people </w:t>
      </w:r>
      <w:r w:rsidR="00F333AC">
        <w:t>who do not have a cognitive impairment or who have strong independent advocates</w:t>
      </w:r>
      <w:r w:rsidR="00926EEA">
        <w:t xml:space="preserve"> to help them navigate the </w:t>
      </w:r>
      <w:r w:rsidR="005B45BC">
        <w:t xml:space="preserve">new </w:t>
      </w:r>
      <w:r w:rsidR="00926EEA">
        <w:t>system.</w:t>
      </w:r>
      <w:r w:rsidR="005B45BC">
        <w:t xml:space="preserve"> OPA has </w:t>
      </w:r>
      <w:r w:rsidR="006A486B">
        <w:t xml:space="preserve">stated many times that ‘thin markets’ for people with complex </w:t>
      </w:r>
      <w:r w:rsidR="0052679B">
        <w:t>needs and behaviours of concern and a lack of independent advocacy and supported decision-making services</w:t>
      </w:r>
      <w:r w:rsidR="00802E60">
        <w:t xml:space="preserve"> make outcomes </w:t>
      </w:r>
      <w:r w:rsidR="0045082E">
        <w:t>under the NDIS uneven</w:t>
      </w:r>
      <w:r w:rsidR="005B6235">
        <w:t xml:space="preserve"> at best.</w:t>
      </w:r>
      <w:r w:rsidR="00E52C28">
        <w:t xml:space="preserve"> The current public emergency has only </w:t>
      </w:r>
      <w:r w:rsidR="00B40CD1">
        <w:t xml:space="preserve">multiplied these </w:t>
      </w:r>
      <w:r w:rsidR="00DE3F6A">
        <w:t>poor outcomes</w:t>
      </w:r>
      <w:r w:rsidR="00BE52BE">
        <w:t xml:space="preserve"> (</w:t>
      </w:r>
      <w:r w:rsidR="00B54565">
        <w:t xml:space="preserve">or </w:t>
      </w:r>
      <w:r w:rsidR="00BE52BE">
        <w:t>systemic neglect)</w:t>
      </w:r>
      <w:r w:rsidR="00DE3F6A">
        <w:t xml:space="preserve">, along with increased risks </w:t>
      </w:r>
      <w:r w:rsidR="00BE52BE">
        <w:t>to indiv</w:t>
      </w:r>
      <w:r w:rsidR="00B54565">
        <w:t xml:space="preserve">iduals </w:t>
      </w:r>
      <w:r w:rsidR="00DE3F6A">
        <w:t>of exploitation and abuse.</w:t>
      </w:r>
    </w:p>
    <w:p w14:paraId="35166644" w14:textId="6E34D1DD" w:rsidR="00C20CB0" w:rsidRDefault="003F7AC2" w:rsidP="00AA7F86">
      <w:pPr>
        <w:spacing w:line="276" w:lineRule="auto"/>
        <w:ind w:left="709"/>
      </w:pPr>
      <w:r>
        <w:t xml:space="preserve">OPA has seen </w:t>
      </w:r>
      <w:r w:rsidR="00222AA4">
        <w:t>high levels of confusion among people with disability</w:t>
      </w:r>
      <w:r w:rsidR="0062295C">
        <w:t xml:space="preserve"> </w:t>
      </w:r>
      <w:r w:rsidR="00620BD1">
        <w:t xml:space="preserve">in relation to variations and cancellations of </w:t>
      </w:r>
      <w:r w:rsidR="008B34AD">
        <w:t xml:space="preserve">regular </w:t>
      </w:r>
      <w:r w:rsidR="00620BD1">
        <w:t>service</w:t>
      </w:r>
      <w:r w:rsidR="008B34AD">
        <w:t>s: from day programs</w:t>
      </w:r>
      <w:r w:rsidR="005A5A5A">
        <w:t xml:space="preserve"> to</w:t>
      </w:r>
      <w:r w:rsidR="003149A7">
        <w:t xml:space="preserve"> </w:t>
      </w:r>
      <w:r w:rsidR="005A5A5A">
        <w:t>allied health.</w:t>
      </w:r>
      <w:r w:rsidR="0039555F">
        <w:t xml:space="preserve"> OPA staff have </w:t>
      </w:r>
      <w:r w:rsidR="0039555F">
        <w:lastRenderedPageBreak/>
        <w:t xml:space="preserve">experienced confusion as different organisations and services appeared to interpret the </w:t>
      </w:r>
      <w:r w:rsidR="0058081F">
        <w:t xml:space="preserve">laws and public health advice very differently </w:t>
      </w:r>
      <w:r w:rsidR="007B5354">
        <w:t>from those with similar offerings.</w:t>
      </w:r>
      <w:r w:rsidR="00E60C3C">
        <w:t xml:space="preserve"> </w:t>
      </w:r>
      <w:r w:rsidR="00550793">
        <w:t xml:space="preserve">In part this has stemmed from the unclear CHO directions </w:t>
      </w:r>
      <w:r w:rsidR="00CB6660">
        <w:t xml:space="preserve">which were in operation from the end of </w:t>
      </w:r>
      <w:r w:rsidR="00CB6660" w:rsidRPr="00DD5E13">
        <w:t>March into June</w:t>
      </w:r>
      <w:r w:rsidR="00561168" w:rsidRPr="00DD5E13">
        <w:t xml:space="preserve"> 2020 (discussed above).</w:t>
      </w:r>
      <w:r w:rsidR="00B30696" w:rsidRPr="00DD5E13">
        <w:t xml:space="preserve"> In part, this</w:t>
      </w:r>
      <w:r w:rsidR="00F10498" w:rsidRPr="00DD5E13">
        <w:t xml:space="preserve"> confusion</w:t>
      </w:r>
      <w:r w:rsidR="00F10498">
        <w:t xml:space="preserve"> </w:t>
      </w:r>
      <w:r w:rsidR="002522EE">
        <w:t xml:space="preserve">was </w:t>
      </w:r>
      <w:r w:rsidR="00F10498">
        <w:t xml:space="preserve">amplified by </w:t>
      </w:r>
      <w:r w:rsidR="003C556D">
        <w:t xml:space="preserve">a lack of </w:t>
      </w:r>
      <w:r w:rsidR="006C6072">
        <w:t xml:space="preserve">sufficient </w:t>
      </w:r>
      <w:r w:rsidR="003C556D">
        <w:t xml:space="preserve">support from </w:t>
      </w:r>
      <w:r w:rsidR="00CF454F">
        <w:t>the sector’s various funders and regulators</w:t>
      </w:r>
      <w:r w:rsidR="00F669AD">
        <w:t xml:space="preserve"> </w:t>
      </w:r>
      <w:r w:rsidR="00905098">
        <w:t xml:space="preserve">for providers </w:t>
      </w:r>
      <w:r w:rsidR="00F669AD">
        <w:t xml:space="preserve">to understand and respond to the specific characteristics of </w:t>
      </w:r>
      <w:r w:rsidR="00227BC5">
        <w:t>COVID-19 and related new laws</w:t>
      </w:r>
      <w:r w:rsidR="00CF454F">
        <w:t>.</w:t>
      </w:r>
    </w:p>
    <w:p w14:paraId="1D6835BA" w14:textId="0133BAB8" w:rsidR="003E5A16" w:rsidRDefault="006B31C3" w:rsidP="00AA7F86">
      <w:pPr>
        <w:spacing w:line="276" w:lineRule="auto"/>
        <w:ind w:left="709"/>
      </w:pPr>
      <w:r>
        <w:t>I</w:t>
      </w:r>
      <w:r w:rsidR="0053518A">
        <w:t xml:space="preserve">t is true that </w:t>
      </w:r>
      <w:r w:rsidR="0065431E">
        <w:t>the</w:t>
      </w:r>
      <w:r w:rsidR="004A41A1">
        <w:t xml:space="preserve"> funders</w:t>
      </w:r>
      <w:r w:rsidR="00437CFD">
        <w:t>,</w:t>
      </w:r>
      <w:r w:rsidR="007A0FD4">
        <w:t xml:space="preserve"> regulators</w:t>
      </w:r>
      <w:r w:rsidR="00437CFD">
        <w:t xml:space="preserve"> and oversight bodies</w:t>
      </w:r>
      <w:r w:rsidR="004A41A1">
        <w:t xml:space="preserve">, including </w:t>
      </w:r>
      <w:r w:rsidR="000267B0">
        <w:t xml:space="preserve">the </w:t>
      </w:r>
      <w:r w:rsidR="004A41A1">
        <w:t xml:space="preserve">NDIA, </w:t>
      </w:r>
      <w:r w:rsidR="002522EE">
        <w:t xml:space="preserve">NDIS Commission, </w:t>
      </w:r>
      <w:r w:rsidR="001743A7">
        <w:t xml:space="preserve">Victorian </w:t>
      </w:r>
      <w:r w:rsidR="004A41A1">
        <w:t>D</w:t>
      </w:r>
      <w:r w:rsidR="00117565">
        <w:t>HHS</w:t>
      </w:r>
      <w:r w:rsidR="00DD5E13">
        <w:t>, DOH</w:t>
      </w:r>
      <w:r w:rsidR="004A41A1">
        <w:t xml:space="preserve"> </w:t>
      </w:r>
      <w:r w:rsidR="005C0F35">
        <w:t xml:space="preserve">and </w:t>
      </w:r>
      <w:r w:rsidR="00674C6C">
        <w:t xml:space="preserve">the </w:t>
      </w:r>
      <w:r w:rsidR="00437CFD">
        <w:t>Aged Care Quality and Safe</w:t>
      </w:r>
      <w:r w:rsidR="00C7051B">
        <w:t>ty</w:t>
      </w:r>
      <w:r w:rsidR="00437CFD">
        <w:t xml:space="preserve"> Commission</w:t>
      </w:r>
      <w:r w:rsidR="00C7051B">
        <w:t>,</w:t>
      </w:r>
      <w:r w:rsidR="00674C6C">
        <w:t xml:space="preserve"> </w:t>
      </w:r>
      <w:r w:rsidR="007A0FD4">
        <w:t xml:space="preserve">have </w:t>
      </w:r>
      <w:r w:rsidR="001F72FE">
        <w:t xml:space="preserve">made </w:t>
      </w:r>
      <w:r w:rsidR="007A0FD4">
        <w:t>multiple</w:t>
      </w:r>
      <w:r w:rsidR="001F72FE">
        <w:t xml:space="preserve"> resources</w:t>
      </w:r>
      <w:r w:rsidR="00C7051B">
        <w:t xml:space="preserve"> </w:t>
      </w:r>
      <w:r>
        <w:t xml:space="preserve">publicly </w:t>
      </w:r>
      <w:r w:rsidR="00C7051B" w:rsidRPr="00050895">
        <w:t xml:space="preserve">available to </w:t>
      </w:r>
      <w:r w:rsidRPr="00730878">
        <w:t>providers</w:t>
      </w:r>
      <w:r w:rsidR="00F37A3E" w:rsidRPr="00730878">
        <w:t xml:space="preserve"> responding to this emergency.</w:t>
      </w:r>
      <w:r w:rsidR="005A079E" w:rsidRPr="00B60664">
        <w:t xml:space="preserve"> It is also true that the contractual</w:t>
      </w:r>
      <w:r w:rsidR="00C31704" w:rsidRPr="00CD7727">
        <w:t xml:space="preserve"> scope</w:t>
      </w:r>
      <w:r w:rsidR="005A079E" w:rsidRPr="00CD7727">
        <w:t xml:space="preserve"> and legal remit</w:t>
      </w:r>
      <w:r w:rsidR="00C31704" w:rsidRPr="00CD7727">
        <w:t xml:space="preserve"> of these bodies </w:t>
      </w:r>
      <w:r w:rsidR="009E2144" w:rsidRPr="00B42EDE">
        <w:t>may</w:t>
      </w:r>
      <w:r w:rsidR="00C31704" w:rsidRPr="00081AD6">
        <w:t xml:space="preserve"> not</w:t>
      </w:r>
      <w:r w:rsidR="009E2144" w:rsidRPr="00081AD6">
        <w:t xml:space="preserve"> </w:t>
      </w:r>
      <w:r w:rsidR="002716DC" w:rsidRPr="00081AD6">
        <w:t xml:space="preserve">require them to </w:t>
      </w:r>
      <w:r w:rsidR="00235472" w:rsidRPr="00081AD6">
        <w:t>provide more assistance than they already have.</w:t>
      </w:r>
      <w:r w:rsidR="00DD5E13" w:rsidRPr="00081AD6">
        <w:t xml:space="preserve"> OPA notes of course, that collectively the intention would be to cover the relevant matters. </w:t>
      </w:r>
      <w:r w:rsidR="00AA0A8D" w:rsidRPr="00081AD6">
        <w:t xml:space="preserve">Nevertheless, OPA and other advocacy bodies have </w:t>
      </w:r>
      <w:r w:rsidR="00D97F09" w:rsidRPr="009D7F56">
        <w:t xml:space="preserve">numerous examples that demonstrate the risks to the safety and human rights of people with disability </w:t>
      </w:r>
      <w:r w:rsidR="005C41B2" w:rsidRPr="00503638">
        <w:t>where individual providers</w:t>
      </w:r>
      <w:r w:rsidR="005C41B2">
        <w:t xml:space="preserve"> are left to interpret unclear </w:t>
      </w:r>
      <w:r w:rsidR="00B5483A">
        <w:t xml:space="preserve">new </w:t>
      </w:r>
      <w:r w:rsidR="005C41B2">
        <w:t>laws</w:t>
      </w:r>
      <w:r w:rsidR="00F06603">
        <w:t xml:space="preserve"> (even with guidance)</w:t>
      </w:r>
      <w:r w:rsidR="005C41B2">
        <w:t xml:space="preserve"> and balance </w:t>
      </w:r>
      <w:r w:rsidR="00FB68C7">
        <w:t>their duty of care responsibilities with the human rights of service users</w:t>
      </w:r>
      <w:r w:rsidR="00B5483A">
        <w:t xml:space="preserve"> during an unprecedented public emergency</w:t>
      </w:r>
      <w:r w:rsidR="00FB68C7">
        <w:t>.</w:t>
      </w:r>
      <w:r w:rsidR="00C31704">
        <w:t xml:space="preserve"> </w:t>
      </w:r>
    </w:p>
    <w:p w14:paraId="1E3D1231" w14:textId="14FC132B" w:rsidR="00F44C1D" w:rsidRDefault="00E57CE1" w:rsidP="00AA7F86">
      <w:pPr>
        <w:spacing w:line="276" w:lineRule="auto"/>
        <w:ind w:left="709"/>
      </w:pPr>
      <w:r>
        <w:t>With everyone scrambling to adapt to operating their businesses during a public health emergency</w:t>
      </w:r>
      <w:r w:rsidR="00F61C54">
        <w:t xml:space="preserve"> it is unsurprising that many have struggled to meet their responsibilities </w:t>
      </w:r>
      <w:r w:rsidR="00D97D2D">
        <w:t xml:space="preserve">under these conditions. </w:t>
      </w:r>
    </w:p>
    <w:p w14:paraId="7ABAF7FD" w14:textId="77777777" w:rsidR="00F44C1D" w:rsidRPr="00DF3261" w:rsidRDefault="00F44C1D" w:rsidP="00F44C1D">
      <w:pPr>
        <w:pStyle w:val="Heading2OPA"/>
        <w:numPr>
          <w:ilvl w:val="1"/>
          <w:numId w:val="16"/>
        </w:numPr>
        <w:ind w:left="709" w:hanging="709"/>
      </w:pPr>
      <w:bookmarkStart w:id="20" w:name="_Toc46949137"/>
      <w:r>
        <w:t>Congregate care settings</w:t>
      </w:r>
      <w:bookmarkEnd w:id="20"/>
    </w:p>
    <w:p w14:paraId="162D8D84" w14:textId="10F754A3" w:rsidR="00103F1C" w:rsidRDefault="0045748C" w:rsidP="00212350">
      <w:pPr>
        <w:spacing w:line="276" w:lineRule="auto"/>
        <w:ind w:left="709"/>
      </w:pPr>
      <w:r>
        <w:t>With some notable exceptions</w:t>
      </w:r>
      <w:r w:rsidR="00103F1C">
        <w:t>,</w:t>
      </w:r>
      <w:r w:rsidR="00C2269D">
        <w:t xml:space="preserve"> </w:t>
      </w:r>
      <w:r w:rsidR="004846BB">
        <w:t xml:space="preserve">OPA has seen congregate care facilities in aged care, disability group </w:t>
      </w:r>
      <w:r w:rsidR="004846BB" w:rsidRPr="000D18EE">
        <w:t>home and SRS</w:t>
      </w:r>
      <w:r w:rsidR="00212350" w:rsidRPr="000D18EE">
        <w:t xml:space="preserve"> sectors </w:t>
      </w:r>
      <w:r w:rsidR="00212350">
        <w:t>doing</w:t>
      </w:r>
      <w:r w:rsidR="00AA7F86">
        <w:t xml:space="preserve"> the best they </w:t>
      </w:r>
      <w:r w:rsidR="00E109B6">
        <w:t xml:space="preserve">know how </w:t>
      </w:r>
      <w:r w:rsidR="00AA7F86">
        <w:t xml:space="preserve">within the framework of </w:t>
      </w:r>
      <w:r w:rsidR="00E109B6">
        <w:t>existing laws</w:t>
      </w:r>
      <w:r w:rsidR="007936F9">
        <w:t>, regulations</w:t>
      </w:r>
      <w:r w:rsidR="00E109B6">
        <w:t xml:space="preserve"> and new public health </w:t>
      </w:r>
      <w:r w:rsidR="00AA7F86">
        <w:t>restrictions</w:t>
      </w:r>
      <w:r w:rsidR="007E3F08">
        <w:t>, with a particular focus on their</w:t>
      </w:r>
      <w:r w:rsidR="00AA7F86">
        <w:t xml:space="preserve"> duty of care responsibilities to clients and staff</w:t>
      </w:r>
      <w:r w:rsidR="00103F1C">
        <w:t>.</w:t>
      </w:r>
      <w:r w:rsidR="000646C6">
        <w:t xml:space="preserve"> As discussed above, during a public health emergency </w:t>
      </w:r>
      <w:r w:rsidR="00AA2C6A">
        <w:t>there are inherent conflicts between an organisation</w:t>
      </w:r>
      <w:r w:rsidR="009101F8">
        <w:t>’</w:t>
      </w:r>
      <w:r w:rsidR="00AA2C6A">
        <w:t xml:space="preserve">s responsibilities to </w:t>
      </w:r>
      <w:r w:rsidR="00AA6C70">
        <w:t xml:space="preserve">their </w:t>
      </w:r>
      <w:r w:rsidR="00AA2C6A">
        <w:t xml:space="preserve">staff and </w:t>
      </w:r>
      <w:r w:rsidR="00AA6C70">
        <w:t xml:space="preserve">their </w:t>
      </w:r>
      <w:r w:rsidR="00AA2C6A">
        <w:t>residents</w:t>
      </w:r>
      <w:r w:rsidR="00AA6C70">
        <w:t xml:space="preserve"> (especially where residents require care that involves close contact)</w:t>
      </w:r>
      <w:r w:rsidR="009101F8">
        <w:t xml:space="preserve"> and between </w:t>
      </w:r>
      <w:r w:rsidR="00633924">
        <w:t xml:space="preserve">protecting and promoting the human rights of one resident as opposed to </w:t>
      </w:r>
      <w:r w:rsidR="006E1217">
        <w:t>the rights and safety of all the co-residents</w:t>
      </w:r>
      <w:r w:rsidR="00401FB5">
        <w:t xml:space="preserve"> in a single </w:t>
      </w:r>
      <w:r w:rsidR="008E54CB">
        <w:t>home/</w:t>
      </w:r>
      <w:r w:rsidR="00401FB5">
        <w:t>facility</w:t>
      </w:r>
      <w:r w:rsidR="006E1217">
        <w:t>.</w:t>
      </w:r>
    </w:p>
    <w:p w14:paraId="33C71EEA" w14:textId="58BF347F" w:rsidR="001D7400" w:rsidRDefault="00E43942" w:rsidP="00763602">
      <w:pPr>
        <w:spacing w:line="276" w:lineRule="auto"/>
        <w:ind w:left="709"/>
      </w:pPr>
      <w:r>
        <w:t xml:space="preserve">One of the ways this conflict has played out, and continues to play out, is in </w:t>
      </w:r>
      <w:r w:rsidR="00FE6C7B">
        <w:t>organisational ‘front door’ policies</w:t>
      </w:r>
      <w:r w:rsidR="00602614">
        <w:t>.</w:t>
      </w:r>
      <w:r w:rsidR="00284CF8">
        <w:t xml:space="preserve"> </w:t>
      </w:r>
      <w:r w:rsidR="00236D53">
        <w:t xml:space="preserve">The following example is used to explore </w:t>
      </w:r>
      <w:r w:rsidR="00EE6019">
        <w:t xml:space="preserve">some of the questions about </w:t>
      </w:r>
      <w:r w:rsidR="001F481F">
        <w:t>whether certain decisions</w:t>
      </w:r>
      <w:r w:rsidR="00A26881">
        <w:t xml:space="preserve"> made at an organisational level</w:t>
      </w:r>
      <w:r w:rsidR="00BD2070">
        <w:t xml:space="preserve"> might </w:t>
      </w:r>
      <w:r w:rsidR="00F2541B">
        <w:t>have constituted unlawful restrictive practices during this emergency</w:t>
      </w:r>
      <w:r w:rsidR="00BE4884">
        <w:t>.</w:t>
      </w:r>
    </w:p>
    <w:p w14:paraId="274B5915" w14:textId="6766254B" w:rsidR="00873D1E" w:rsidRDefault="00E20424" w:rsidP="005463DD">
      <w:pPr>
        <w:spacing w:line="276" w:lineRule="auto"/>
        <w:ind w:left="1440"/>
      </w:pPr>
      <w:r>
        <w:t xml:space="preserve">Joseph </w:t>
      </w:r>
      <w:r w:rsidR="00F32053">
        <w:t xml:space="preserve">is </w:t>
      </w:r>
      <w:r w:rsidR="00A176C2">
        <w:t xml:space="preserve">middle-aged, </w:t>
      </w:r>
      <w:r w:rsidR="00F32053">
        <w:t>has autism and is largely non-verbal</w:t>
      </w:r>
      <w:r w:rsidR="00EE2CB3">
        <w:t xml:space="preserve"> and lives in a group home</w:t>
      </w:r>
      <w:r w:rsidR="00F32053">
        <w:t>. He spent most of his life</w:t>
      </w:r>
      <w:r w:rsidR="00A176C2">
        <w:t xml:space="preserve"> in an institution</w:t>
      </w:r>
      <w:r w:rsidR="004B348F">
        <w:t xml:space="preserve"> where day program was an integral part of his life.</w:t>
      </w:r>
      <w:r w:rsidR="00EE2CB3">
        <w:t xml:space="preserve"> </w:t>
      </w:r>
      <w:r w:rsidR="00695430">
        <w:t xml:space="preserve">Those who know him best say that </w:t>
      </w:r>
      <w:r w:rsidR="005E1644">
        <w:t xml:space="preserve">his </w:t>
      </w:r>
      <w:r w:rsidR="00695430">
        <w:t xml:space="preserve">day program </w:t>
      </w:r>
      <w:r w:rsidR="005E1644">
        <w:t>provides him with a sense of purpose and belonging</w:t>
      </w:r>
      <w:r w:rsidR="00B43FE8">
        <w:t xml:space="preserve">, and he looks forward to the opportunities </w:t>
      </w:r>
      <w:r w:rsidR="005A008E">
        <w:t xml:space="preserve">that day program provides </w:t>
      </w:r>
      <w:r w:rsidR="000E4492">
        <w:t xml:space="preserve">for him </w:t>
      </w:r>
      <w:r w:rsidR="00B43FE8">
        <w:t>to contribute to the wellbeing of the group</w:t>
      </w:r>
      <w:r w:rsidR="005A008E">
        <w:t>.</w:t>
      </w:r>
    </w:p>
    <w:p w14:paraId="54B1A0A9" w14:textId="0E248604" w:rsidR="002C0D18" w:rsidRDefault="002C0D18" w:rsidP="005463DD">
      <w:pPr>
        <w:spacing w:line="276" w:lineRule="auto"/>
        <w:ind w:left="1440"/>
      </w:pPr>
      <w:r>
        <w:t xml:space="preserve">Joseph’s day program provider </w:t>
      </w:r>
      <w:r w:rsidR="004817A1">
        <w:t xml:space="preserve">shut down </w:t>
      </w:r>
      <w:r w:rsidR="00C74869">
        <w:t>temporarily in the early days of the Australian outbreak</w:t>
      </w:r>
      <w:r w:rsidR="00E9701D">
        <w:t xml:space="preserve">. </w:t>
      </w:r>
      <w:r w:rsidR="00B7173D">
        <w:t xml:space="preserve">Joseph’s care team anticipated that </w:t>
      </w:r>
      <w:r w:rsidR="00C4392A">
        <w:t xml:space="preserve">this break in his routine </w:t>
      </w:r>
      <w:r w:rsidR="00092DA7">
        <w:t xml:space="preserve">would cause an escalation in his behaviours of concern and </w:t>
      </w:r>
      <w:r w:rsidR="00937BBC">
        <w:t xml:space="preserve">soon </w:t>
      </w:r>
      <w:r w:rsidR="00092DA7">
        <w:t xml:space="preserve">began work </w:t>
      </w:r>
      <w:r w:rsidR="00516604">
        <w:t xml:space="preserve">on </w:t>
      </w:r>
      <w:r w:rsidR="00DF3A3F">
        <w:t xml:space="preserve">finding a </w:t>
      </w:r>
      <w:r w:rsidR="00516604">
        <w:t xml:space="preserve">stable </w:t>
      </w:r>
      <w:r w:rsidR="00DF3A3F">
        <w:t xml:space="preserve">program option </w:t>
      </w:r>
      <w:r w:rsidR="00355A9A">
        <w:t>to replace day program.</w:t>
      </w:r>
      <w:r w:rsidR="004B0FEA">
        <w:t xml:space="preserve"> During these discussions it was </w:t>
      </w:r>
      <w:r w:rsidR="00D71879">
        <w:t xml:space="preserve">clear that Joseph’s residential service provider was very concerned </w:t>
      </w:r>
      <w:r w:rsidR="007174CE">
        <w:t xml:space="preserve">by the idea of Joseph </w:t>
      </w:r>
      <w:r w:rsidR="008D100E">
        <w:t xml:space="preserve">contracting </w:t>
      </w:r>
      <w:r w:rsidR="007174CE">
        <w:t xml:space="preserve">COVID-19 </w:t>
      </w:r>
      <w:r w:rsidR="008D100E">
        <w:t xml:space="preserve">while he was out and bringing it </w:t>
      </w:r>
      <w:r w:rsidR="007174CE">
        <w:t>home</w:t>
      </w:r>
      <w:r w:rsidR="0071214B">
        <w:t>.</w:t>
      </w:r>
    </w:p>
    <w:p w14:paraId="25B68C0C" w14:textId="62F14CB2" w:rsidR="008B5AB0" w:rsidRDefault="00DB2B56" w:rsidP="005463DD">
      <w:pPr>
        <w:spacing w:line="276" w:lineRule="auto"/>
        <w:ind w:left="1440"/>
      </w:pPr>
      <w:r>
        <w:lastRenderedPageBreak/>
        <w:t>When the day program decided to reopen with much reduced operating</w:t>
      </w:r>
      <w:r w:rsidR="00F579F6">
        <w:t xml:space="preserve"> capacity, they offered Joseph one of the first places</w:t>
      </w:r>
      <w:r w:rsidR="006027A3">
        <w:t>, recognising how important the program was to him.</w:t>
      </w:r>
      <w:r w:rsidR="00964FEF">
        <w:t xml:space="preserve"> </w:t>
      </w:r>
      <w:r w:rsidR="00B64AD3">
        <w:t xml:space="preserve">Despite the agreement of the OPA guardian and the </w:t>
      </w:r>
      <w:r w:rsidR="00816990">
        <w:t xml:space="preserve">support of the care team, and all the </w:t>
      </w:r>
      <w:r w:rsidR="00944D00">
        <w:t xml:space="preserve">public health risk mitigation procedures documented by the day program, </w:t>
      </w:r>
      <w:r w:rsidR="00602B5C">
        <w:t xml:space="preserve">the residential service </w:t>
      </w:r>
      <w:r w:rsidR="00586EAE">
        <w:t xml:space="preserve">vacillated </w:t>
      </w:r>
      <w:r w:rsidR="00602B5C">
        <w:t>and prevented Joseph from accepting the place</w:t>
      </w:r>
      <w:r w:rsidR="00F61E2C">
        <w:t xml:space="preserve">. </w:t>
      </w:r>
      <w:r w:rsidR="00CE4AB5">
        <w:t xml:space="preserve">The day program offered the place to another participant before the </w:t>
      </w:r>
      <w:r w:rsidR="00D61ED7">
        <w:t>group home provider assented.</w:t>
      </w:r>
      <w:r w:rsidR="008E59B7">
        <w:t xml:space="preserve"> At the time of writing, Joseph has been at home</w:t>
      </w:r>
      <w:r w:rsidR="00D718DC">
        <w:t xml:space="preserve"> for more than three months.</w:t>
      </w:r>
    </w:p>
    <w:p w14:paraId="1AF3DC5E" w14:textId="41DE35AA" w:rsidR="00111DEF" w:rsidRDefault="008B5AB0" w:rsidP="00111DEF">
      <w:pPr>
        <w:spacing w:line="276" w:lineRule="auto"/>
        <w:ind w:left="1440"/>
        <w:rPr>
          <w:rFonts w:ascii="Calibri" w:eastAsia="Times New Roman" w:hAnsi="Calibri" w:cs="Calibri"/>
          <w:lang w:val="en-US"/>
        </w:rPr>
      </w:pPr>
      <w:r>
        <w:t xml:space="preserve">Joseph’s OPA guardian has another </w:t>
      </w:r>
      <w:r w:rsidR="003F6DE6">
        <w:t>client with similar needs</w:t>
      </w:r>
      <w:r w:rsidR="00840D48">
        <w:t>, who also lives in a group home.</w:t>
      </w:r>
      <w:r w:rsidR="001C541A">
        <w:t xml:space="preserve"> Karl’s group home is run by a different organisation</w:t>
      </w:r>
      <w:r w:rsidR="005E7337">
        <w:t>. This organisation approached Karl’s regular day program provider</w:t>
      </w:r>
      <w:r w:rsidR="00835811">
        <w:t xml:space="preserve"> (which had also ceased its program) and </w:t>
      </w:r>
      <w:r w:rsidR="006C3E67">
        <w:t>organised for them to provide Karl with an in-house service</w:t>
      </w:r>
      <w:r w:rsidR="00926474">
        <w:t xml:space="preserve">. </w:t>
      </w:r>
      <w:r w:rsidR="00111DEF">
        <w:t xml:space="preserve">The </w:t>
      </w:r>
      <w:r w:rsidR="00111DEF" w:rsidRPr="007A1092">
        <w:t xml:space="preserve">facility manages </w:t>
      </w:r>
      <w:r w:rsidR="00111DEF">
        <w:t xml:space="preserve">COVID-19 </w:t>
      </w:r>
      <w:r w:rsidR="00111DEF" w:rsidRPr="007A1092">
        <w:t>risk</w:t>
      </w:r>
      <w:r w:rsidR="00111DEF">
        <w:t>s</w:t>
      </w:r>
      <w:r w:rsidR="00111DEF" w:rsidRPr="007A1092">
        <w:t xml:space="preserve"> with protocols around the number of people who can be in the house at one time and around cleaning. </w:t>
      </w:r>
      <w:r w:rsidR="00A60A1A">
        <w:t>Karl</w:t>
      </w:r>
      <w:r w:rsidR="00111DEF" w:rsidRPr="007A1092">
        <w:t xml:space="preserve"> has access to their day program, and a continuance of their routine as far as possible under COVID restrictions.</w:t>
      </w:r>
      <w:r w:rsidR="00111DEF" w:rsidRPr="007A1092">
        <w:rPr>
          <w:rFonts w:ascii="Calibri" w:eastAsia="Times New Roman" w:hAnsi="Calibri" w:cs="Calibri"/>
        </w:rPr>
        <w:t> </w:t>
      </w:r>
    </w:p>
    <w:p w14:paraId="6E005B22" w14:textId="3CC9E7FD" w:rsidR="008B5AB0" w:rsidRDefault="005D2115" w:rsidP="005D2115">
      <w:pPr>
        <w:spacing w:line="276" w:lineRule="auto"/>
        <w:ind w:left="1440"/>
      </w:pPr>
      <w:r w:rsidRPr="005D2115">
        <w:t>The guardian asks: Why can’t Joseph have what Karl has?</w:t>
      </w:r>
    </w:p>
    <w:p w14:paraId="092E1D23" w14:textId="77777777" w:rsidR="00AF1C68" w:rsidRDefault="00E11BAC" w:rsidP="0032010D">
      <w:pPr>
        <w:spacing w:line="276" w:lineRule="auto"/>
        <w:ind w:left="709"/>
      </w:pPr>
      <w:r>
        <w:t xml:space="preserve">The </w:t>
      </w:r>
      <w:r w:rsidR="00302703">
        <w:t xml:space="preserve">story above demonstrates that organisation </w:t>
      </w:r>
      <w:r w:rsidR="001301D2">
        <w:t xml:space="preserve">level </w:t>
      </w:r>
      <w:r>
        <w:t>difference</w:t>
      </w:r>
      <w:r w:rsidR="001301D2">
        <w:t>s</w:t>
      </w:r>
      <w:r>
        <w:t xml:space="preserve"> in risk aversity</w:t>
      </w:r>
      <w:r w:rsidR="009961D2">
        <w:t>, interpretation of the CHO directions,</w:t>
      </w:r>
      <w:r>
        <w:t xml:space="preserve"> </w:t>
      </w:r>
      <w:r w:rsidR="00566EE0">
        <w:t xml:space="preserve">and </w:t>
      </w:r>
      <w:r w:rsidR="00701553">
        <w:t>beliefs about</w:t>
      </w:r>
      <w:r w:rsidR="00566EE0">
        <w:t xml:space="preserve"> their organisation</w:t>
      </w:r>
      <w:r w:rsidR="00D2303C">
        <w:t>’s</w:t>
      </w:r>
      <w:r w:rsidR="00566EE0">
        <w:t xml:space="preserve"> duty of care</w:t>
      </w:r>
      <w:r w:rsidR="001301D2">
        <w:t xml:space="preserve"> result in starkly different practices and outcomes for clients in congregate care settings.</w:t>
      </w:r>
      <w:r w:rsidR="00BB7F2D">
        <w:t xml:space="preserve"> </w:t>
      </w:r>
    </w:p>
    <w:p w14:paraId="7F704978" w14:textId="5A4F925B" w:rsidR="00AF1C68" w:rsidRDefault="00AF1C68" w:rsidP="009E6EA5">
      <w:pPr>
        <w:spacing w:line="276" w:lineRule="auto"/>
        <w:ind w:left="709"/>
      </w:pPr>
      <w:r>
        <w:rPr>
          <w:color w:val="000000"/>
        </w:rPr>
        <w:t>Joseph’s provider organisation adopted a high</w:t>
      </w:r>
      <w:r w:rsidR="00535DC9">
        <w:rPr>
          <w:color w:val="000000"/>
        </w:rPr>
        <w:t>-</w:t>
      </w:r>
      <w:r>
        <w:rPr>
          <w:color w:val="000000"/>
        </w:rPr>
        <w:t xml:space="preserve">level risk averse approach to keeping COVID-19 out of its residential services. The policy was adopted across all its residences irrespective of the needs of particular residents.  </w:t>
      </w:r>
    </w:p>
    <w:p w14:paraId="5B712A27" w14:textId="492083E2" w:rsidR="00FA1795" w:rsidRDefault="00FA1795" w:rsidP="009E6EA5">
      <w:pPr>
        <w:spacing w:line="276" w:lineRule="auto"/>
        <w:ind w:left="709"/>
      </w:pPr>
      <w:r w:rsidRPr="009E6EA5">
        <w:t>It was OPA’s view that Joseph’s residential service provider was imposing more restrictive conditions than were specified under the CHO directions, although there was ambiguity in the interpretation of the directions. OPA sought to clarify the interpretation with the CHO but this was not resolved at the time the first lockdown concluded.  If the restrictions were additional to those set out in the CHO directions, it is OPA’s view that this would constitute an unlawful restrictive practice.</w:t>
      </w:r>
    </w:p>
    <w:p w14:paraId="7D4B8AFF" w14:textId="77777777" w:rsidR="00745249" w:rsidRDefault="00745249" w:rsidP="00745249">
      <w:pPr>
        <w:pStyle w:val="NormalWeb"/>
        <w:spacing w:before="240" w:after="240" w:line="253" w:lineRule="atLeast"/>
        <w:ind w:left="709"/>
        <w:rPr>
          <w:color w:val="000000"/>
          <w:sz w:val="22"/>
          <w:szCs w:val="22"/>
        </w:rPr>
      </w:pPr>
      <w:r>
        <w:rPr>
          <w:color w:val="000000"/>
          <w:sz w:val="22"/>
          <w:szCs w:val="22"/>
        </w:rPr>
        <w:t>There were other residential service organisations that, like Karl’s, maintained a ‘front door’ policy that was less restrictive than Joseph’s.</w:t>
      </w:r>
    </w:p>
    <w:p w14:paraId="17775BDC" w14:textId="0A2CE47B" w:rsidR="0032010D" w:rsidRDefault="00216CD5" w:rsidP="0032010D">
      <w:pPr>
        <w:spacing w:line="276" w:lineRule="auto"/>
        <w:ind w:left="709"/>
      </w:pPr>
      <w:r>
        <w:t xml:space="preserve">As stated above, OPA </w:t>
      </w:r>
      <w:r w:rsidR="00A16CE2">
        <w:t xml:space="preserve">sought clarification from the CHO on </w:t>
      </w:r>
      <w:r w:rsidR="002766BE">
        <w:t>the meaning of the directions that have been interpreted in widely divergent ways by congregate care providers.</w:t>
      </w:r>
      <w:r w:rsidR="00171962">
        <w:t xml:space="preserve"> OPA did not take this, or the many other, potentially unlawful restrictive practices</w:t>
      </w:r>
      <w:r w:rsidR="00BB3315">
        <w:t xml:space="preserve"> </w:t>
      </w:r>
      <w:r w:rsidR="00507B5B">
        <w:t>caused by extreme</w:t>
      </w:r>
      <w:r w:rsidR="00FD262E">
        <w:t xml:space="preserve">ly risk averse organisations </w:t>
      </w:r>
      <w:r w:rsidR="00DC78C3">
        <w:t>to the NDIS Commissio</w:t>
      </w:r>
      <w:r w:rsidR="00402E68">
        <w:t>n</w:t>
      </w:r>
      <w:r w:rsidR="00507B5B">
        <w:t>.</w:t>
      </w:r>
      <w:r w:rsidR="00FD262E">
        <w:t xml:space="preserve"> Going forward, with clearer directions and </w:t>
      </w:r>
      <w:r w:rsidR="005D05F1">
        <w:t>lifting of more restrictions</w:t>
      </w:r>
      <w:r w:rsidR="000C6E50">
        <w:t xml:space="preserve">, OPA would consider bringing these types of complaints to the </w:t>
      </w:r>
      <w:r w:rsidR="00F614D9">
        <w:t xml:space="preserve">NDIS </w:t>
      </w:r>
      <w:r w:rsidR="000C6E50">
        <w:t>Commission.</w:t>
      </w:r>
      <w:r w:rsidR="009112ED">
        <w:t xml:space="preserve"> (See </w:t>
      </w:r>
      <w:r w:rsidR="007B010D">
        <w:t>R</w:t>
      </w:r>
      <w:r w:rsidR="009112ED">
        <w:t>ecommendation 2</w:t>
      </w:r>
      <w:r w:rsidR="00082E16">
        <w:t>.</w:t>
      </w:r>
      <w:r w:rsidR="009112ED">
        <w:t>)</w:t>
      </w:r>
    </w:p>
    <w:p w14:paraId="60775A44" w14:textId="7A1FA35A" w:rsidR="00A841E4" w:rsidRDefault="008C7830" w:rsidP="00AA7F86">
      <w:pPr>
        <w:spacing w:line="276" w:lineRule="auto"/>
        <w:ind w:left="709"/>
      </w:pPr>
      <w:r>
        <w:t>The human ri</w:t>
      </w:r>
      <w:r w:rsidR="00C831E0">
        <w:t>ghts issue of restrictive practices</w:t>
      </w:r>
      <w:r w:rsidR="001756C3">
        <w:t xml:space="preserve"> </w:t>
      </w:r>
      <w:r w:rsidR="0049381B">
        <w:t xml:space="preserve">also haunts sectors </w:t>
      </w:r>
      <w:r w:rsidR="00DE797D">
        <w:t xml:space="preserve">which have </w:t>
      </w:r>
      <w:r w:rsidR="00EE7D06">
        <w:t xml:space="preserve">no regulatory framework. </w:t>
      </w:r>
      <w:r w:rsidR="00074519">
        <w:t xml:space="preserve">During a pandemic health and safety risks </w:t>
      </w:r>
      <w:r w:rsidR="00BE3BAA">
        <w:t xml:space="preserve">(or rights) </w:t>
      </w:r>
      <w:r w:rsidR="00074519">
        <w:t xml:space="preserve">can be added to </w:t>
      </w:r>
      <w:r w:rsidR="00020B4A">
        <w:t>a person’s right to freedom of movement.</w:t>
      </w:r>
    </w:p>
    <w:p w14:paraId="5F249B5E" w14:textId="7745FA81" w:rsidR="0032010D" w:rsidRDefault="00B746C7" w:rsidP="00AA7F86">
      <w:pPr>
        <w:spacing w:line="276" w:lineRule="auto"/>
        <w:ind w:left="709"/>
      </w:pPr>
      <w:r>
        <w:t>The Supported Residential Services (SRS) sector</w:t>
      </w:r>
      <w:r w:rsidR="00F4789F">
        <w:t xml:space="preserve"> is </w:t>
      </w:r>
      <w:r w:rsidR="004A3664">
        <w:t>one such sector</w:t>
      </w:r>
      <w:r w:rsidR="00722172">
        <w:t xml:space="preserve"> (lacking a regulatory framework for restrictive practices)</w:t>
      </w:r>
      <w:r w:rsidR="00283A5B">
        <w:t xml:space="preserve">. </w:t>
      </w:r>
      <w:r w:rsidR="000A0200">
        <w:t xml:space="preserve">OPA </w:t>
      </w:r>
      <w:r w:rsidR="00353B27">
        <w:t xml:space="preserve">and Community Visitors have </w:t>
      </w:r>
      <w:r w:rsidR="000A0200">
        <w:t xml:space="preserve">long-held </w:t>
      </w:r>
      <w:r w:rsidR="00656C46">
        <w:t>and well-</w:t>
      </w:r>
      <w:r w:rsidR="00656C46">
        <w:lastRenderedPageBreak/>
        <w:t xml:space="preserve">documented </w:t>
      </w:r>
      <w:r w:rsidR="000A0200">
        <w:t>concerns for the safety and wellbeing of people living in SRS</w:t>
      </w:r>
      <w:r w:rsidR="00656C46">
        <w:t>s</w:t>
      </w:r>
      <w:r w:rsidR="003D003D">
        <w:t xml:space="preserve">, especially pension-level settings which </w:t>
      </w:r>
      <w:r w:rsidR="005B19D4">
        <w:t>accommodate people with disability, ABI and mental health issues</w:t>
      </w:r>
      <w:r w:rsidR="008D2BE0">
        <w:t>,</w:t>
      </w:r>
      <w:r w:rsidR="00C928D9">
        <w:t xml:space="preserve"> have </w:t>
      </w:r>
      <w:r w:rsidR="00C928D9" w:rsidRPr="00CD2685">
        <w:t xml:space="preserve">high </w:t>
      </w:r>
      <w:r w:rsidR="00CD2685" w:rsidRPr="00CD2685">
        <w:t xml:space="preserve">resident to </w:t>
      </w:r>
      <w:r w:rsidR="00C928D9" w:rsidRPr="00CD2685">
        <w:t>staff ratios</w:t>
      </w:r>
      <w:r w:rsidR="00F0075E" w:rsidRPr="00CD2685">
        <w:t>,</w:t>
      </w:r>
      <w:r w:rsidR="006745E1" w:rsidRPr="00CD2685">
        <w:t xml:space="preserve"> </w:t>
      </w:r>
      <w:r w:rsidR="00F0075E" w:rsidRPr="00CD2685">
        <w:t xml:space="preserve">poorly trained staff and </w:t>
      </w:r>
      <w:r w:rsidR="006745E1" w:rsidRPr="00CD2685">
        <w:t xml:space="preserve">few resources. </w:t>
      </w:r>
      <w:r w:rsidR="00F9299F" w:rsidRPr="00CD2685">
        <w:t>OPA</w:t>
      </w:r>
      <w:r w:rsidR="00D71E74" w:rsidRPr="00CD2685">
        <w:t>’s</w:t>
      </w:r>
      <w:r w:rsidR="00F9299F" w:rsidRPr="00CD2685">
        <w:t xml:space="preserve"> </w:t>
      </w:r>
      <w:r w:rsidR="00194D40" w:rsidRPr="00CD2685">
        <w:t>Volunteer Pro</w:t>
      </w:r>
      <w:r w:rsidR="00194D40">
        <w:t xml:space="preserve">grams have also raised concerns about potentially exploitative </w:t>
      </w:r>
      <w:r w:rsidR="004558BE">
        <w:t xml:space="preserve">situations arising where SRS proprietors </w:t>
      </w:r>
      <w:r w:rsidR="007C3697">
        <w:t>begin providing NDIS services to their residents</w:t>
      </w:r>
      <w:r w:rsidR="00084AE8">
        <w:t xml:space="preserve">: </w:t>
      </w:r>
      <w:r w:rsidR="006515AC">
        <w:t xml:space="preserve">effectively a </w:t>
      </w:r>
      <w:r w:rsidR="00084AE8">
        <w:t>captive market.</w:t>
      </w:r>
      <w:r w:rsidR="004558BE">
        <w:t xml:space="preserve"> </w:t>
      </w:r>
      <w:r w:rsidR="00D9438D">
        <w:t xml:space="preserve">Prior to COVID-19, OPA </w:t>
      </w:r>
      <w:r w:rsidR="003F2E4D">
        <w:t xml:space="preserve">staff </w:t>
      </w:r>
      <w:r w:rsidR="00D9438D">
        <w:t>we</w:t>
      </w:r>
      <w:r w:rsidR="003F2E4D">
        <w:t xml:space="preserve">re aware of multiple </w:t>
      </w:r>
      <w:r w:rsidR="001A3873">
        <w:t xml:space="preserve">situations </w:t>
      </w:r>
      <w:r w:rsidR="00EC0B47">
        <w:t>where</w:t>
      </w:r>
      <w:r w:rsidR="00C87F98">
        <w:t xml:space="preserve"> </w:t>
      </w:r>
      <w:r w:rsidR="00631825">
        <w:t>SRS proprie</w:t>
      </w:r>
      <w:r w:rsidR="008060EC">
        <w:t xml:space="preserve">tors </w:t>
      </w:r>
      <w:r w:rsidR="00AA68E5">
        <w:t xml:space="preserve">hold </w:t>
      </w:r>
      <w:r w:rsidR="00AF24E6">
        <w:t xml:space="preserve">the power to evict </w:t>
      </w:r>
      <w:r w:rsidR="00DE2A11">
        <w:t xml:space="preserve">residents </w:t>
      </w:r>
      <w:r w:rsidR="007C5CD6">
        <w:t>who do not agree to using NDIS funded services</w:t>
      </w:r>
      <w:r w:rsidR="0041632C">
        <w:t xml:space="preserve"> or support coordination</w:t>
      </w:r>
      <w:r w:rsidR="007C5CD6">
        <w:t xml:space="preserve"> being offered by </w:t>
      </w:r>
      <w:r w:rsidR="00076940">
        <w:t>the proprietor.</w:t>
      </w:r>
    </w:p>
    <w:p w14:paraId="58C70836" w14:textId="69E4A639" w:rsidR="00BC5B94" w:rsidRDefault="00877E68" w:rsidP="00AA7F86">
      <w:pPr>
        <w:spacing w:line="276" w:lineRule="auto"/>
        <w:ind w:left="709"/>
      </w:pPr>
      <w:r>
        <w:t xml:space="preserve">These </w:t>
      </w:r>
      <w:r w:rsidR="007C328A">
        <w:t>exploitation</w:t>
      </w:r>
      <w:r w:rsidR="00C660A4">
        <w:t>, safety</w:t>
      </w:r>
      <w:r w:rsidR="002C7A33">
        <w:t>, neglect</w:t>
      </w:r>
      <w:r w:rsidR="007C328A">
        <w:t xml:space="preserve"> and abuse </w:t>
      </w:r>
      <w:r w:rsidR="00F537C3">
        <w:t xml:space="preserve">issues </w:t>
      </w:r>
      <w:r w:rsidR="006E1CFF">
        <w:t xml:space="preserve">that were present pre-COVID </w:t>
      </w:r>
      <w:r w:rsidR="000C3D28">
        <w:t xml:space="preserve">remain, and in many cases </w:t>
      </w:r>
      <w:r w:rsidR="004E1C54">
        <w:t xml:space="preserve">have likely been heightened by COVID-19 related restrictions on face-to-face contact and </w:t>
      </w:r>
      <w:r w:rsidR="00ED77A7">
        <w:t>freedom of movement during lockdown periods.</w:t>
      </w:r>
      <w:r w:rsidR="00BD4EE4">
        <w:t xml:space="preserve"> </w:t>
      </w:r>
      <w:r w:rsidR="00F9299F">
        <w:t>OPA</w:t>
      </w:r>
      <w:r w:rsidR="00D71E74">
        <w:t>’s</w:t>
      </w:r>
      <w:r w:rsidR="00F9299F">
        <w:t xml:space="preserve"> </w:t>
      </w:r>
      <w:r w:rsidR="00BD4EE4">
        <w:t xml:space="preserve">Volunteer Programs report some SRS facilities </w:t>
      </w:r>
      <w:r w:rsidR="00DE4C1A">
        <w:t xml:space="preserve">have effectively locked the front door, saying that if residents </w:t>
      </w:r>
      <w:r w:rsidR="00921F10">
        <w:t>g</w:t>
      </w:r>
      <w:r w:rsidR="00DE4C1A">
        <w:t>o out for the day that they will not be let back in</w:t>
      </w:r>
      <w:r w:rsidR="00BD0377">
        <w:t xml:space="preserve">. </w:t>
      </w:r>
      <w:r w:rsidR="00C10EB2">
        <w:t>This meant at least one resident was</w:t>
      </w:r>
      <w:r w:rsidR="00F33243">
        <w:t xml:space="preserve"> not able to attend paid employment. </w:t>
      </w:r>
      <w:r w:rsidR="00FD15F0">
        <w:t>Some o</w:t>
      </w:r>
      <w:r w:rsidR="00BD0377">
        <w:t xml:space="preserve">ther SRSs with residents with more behavioural </w:t>
      </w:r>
      <w:r w:rsidR="002F434D">
        <w:t>issues chose not to lock the front door</w:t>
      </w:r>
      <w:r w:rsidR="00CD469A">
        <w:t xml:space="preserve">, and </w:t>
      </w:r>
      <w:r w:rsidR="00FD15F0">
        <w:t xml:space="preserve">Community Visitors’ </w:t>
      </w:r>
      <w:r w:rsidR="00CD469A">
        <w:t>report</w:t>
      </w:r>
      <w:r w:rsidR="00FD15F0">
        <w:t>ed</w:t>
      </w:r>
      <w:r w:rsidR="00CD469A">
        <w:t xml:space="preserve"> that residents unable to understand or comply with lockdown and social distancing requirements</w:t>
      </w:r>
      <w:r w:rsidR="00890C68">
        <w:t xml:space="preserve"> continued to access the community as usual</w:t>
      </w:r>
      <w:r w:rsidR="009B6B0C">
        <w:t xml:space="preserve">. Community Visitors also shared concerns about the level of support provided to residents to maintain </w:t>
      </w:r>
      <w:r w:rsidR="00E534DB">
        <w:t xml:space="preserve">COVID-19 recommended standards of </w:t>
      </w:r>
      <w:r w:rsidR="009B6B0C">
        <w:t>personal hygiene</w:t>
      </w:r>
      <w:r w:rsidR="00FC04EE">
        <w:t>,</w:t>
      </w:r>
      <w:r w:rsidR="009E31D0">
        <w:t xml:space="preserve"> as well as </w:t>
      </w:r>
      <w:r w:rsidR="005516E2">
        <w:t>some facilities which did not report undertaking more cleaning</w:t>
      </w:r>
      <w:r w:rsidR="00920647">
        <w:t xml:space="preserve"> of shared facilities and often used surfaces than usual.</w:t>
      </w:r>
    </w:p>
    <w:p w14:paraId="53C36D78" w14:textId="37BDBE7B" w:rsidR="00F71238" w:rsidRDefault="008B33AC" w:rsidP="00AA7F86">
      <w:pPr>
        <w:spacing w:line="276" w:lineRule="auto"/>
        <w:ind w:left="709"/>
      </w:pPr>
      <w:r>
        <w:t xml:space="preserve">COVID-19 </w:t>
      </w:r>
      <w:r w:rsidR="00115BCF">
        <w:t xml:space="preserve">restrictions </w:t>
      </w:r>
      <w:r>
        <w:t>also</w:t>
      </w:r>
      <w:r w:rsidR="00115BCF">
        <w:t xml:space="preserve"> reduced </w:t>
      </w:r>
      <w:r w:rsidR="00164163">
        <w:t>access to services</w:t>
      </w:r>
      <w:r w:rsidR="00C1759C">
        <w:t xml:space="preserve"> including</w:t>
      </w:r>
      <w:r w:rsidR="00164163">
        <w:t xml:space="preserve"> mental health</w:t>
      </w:r>
      <w:r w:rsidR="00C1759C">
        <w:t xml:space="preserve">, </w:t>
      </w:r>
      <w:r w:rsidR="00164163">
        <w:t>community access</w:t>
      </w:r>
      <w:r w:rsidR="00C1759C">
        <w:t xml:space="preserve">, and </w:t>
      </w:r>
      <w:r w:rsidR="00164163">
        <w:t>allied health</w:t>
      </w:r>
      <w:r w:rsidR="00C1759C">
        <w:t xml:space="preserve"> service delivery</w:t>
      </w:r>
      <w:r w:rsidR="003458AF">
        <w:t>. Pension</w:t>
      </w:r>
      <w:r w:rsidR="008A13EC">
        <w:t>-</w:t>
      </w:r>
      <w:r w:rsidR="003458AF">
        <w:t xml:space="preserve">level SRS residents would also be less likely </w:t>
      </w:r>
      <w:r w:rsidR="008A13EC">
        <w:t xml:space="preserve">than most </w:t>
      </w:r>
      <w:r w:rsidR="003458AF">
        <w:t>to own their own technology t</w:t>
      </w:r>
      <w:r w:rsidR="003D40E5">
        <w:t>hat might</w:t>
      </w:r>
      <w:r w:rsidR="003458AF">
        <w:t xml:space="preserve"> enable them to </w:t>
      </w:r>
      <w:r w:rsidR="008A13EC">
        <w:t>access</w:t>
      </w:r>
      <w:r w:rsidR="003458AF">
        <w:t xml:space="preserve"> </w:t>
      </w:r>
      <w:r w:rsidR="008A13EC">
        <w:t>online services.</w:t>
      </w:r>
    </w:p>
    <w:p w14:paraId="0541483C" w14:textId="52087716" w:rsidR="004D39E8" w:rsidRDefault="004D39E8" w:rsidP="00AA7F86">
      <w:pPr>
        <w:spacing w:line="276" w:lineRule="auto"/>
        <w:ind w:left="709"/>
      </w:pPr>
      <w:r>
        <w:t>OPA’s Community Visitors program has undertaken phone ‘visits’ to SRS</w:t>
      </w:r>
      <w:r w:rsidR="001B6FE5">
        <w:t>, checking in with proprietors about how things are going in their facilities</w:t>
      </w:r>
      <w:r w:rsidR="003D0F7C">
        <w:t>. Logistically</w:t>
      </w:r>
      <w:r w:rsidR="00732D7E">
        <w:t>,</w:t>
      </w:r>
      <w:r w:rsidR="003D0F7C">
        <w:t xml:space="preserve"> th</w:t>
      </w:r>
      <w:r w:rsidR="00732D7E">
        <w:t>e</w:t>
      </w:r>
      <w:r w:rsidR="003D0F7C">
        <w:t xml:space="preserve">se </w:t>
      </w:r>
      <w:r w:rsidR="00B44A1E">
        <w:t xml:space="preserve">phone </w:t>
      </w:r>
      <w:r w:rsidR="003D0F7C">
        <w:t xml:space="preserve">visits are limited to seeking the perspective of the SRS manager </w:t>
      </w:r>
      <w:r w:rsidR="00732D7E">
        <w:t>or proprietor</w:t>
      </w:r>
      <w:r w:rsidR="00B44A1E">
        <w:t xml:space="preserve"> and are dependent on how much that person is willing to share about the current goings on</w:t>
      </w:r>
      <w:r w:rsidR="001E6A28">
        <w:t xml:space="preserve">. </w:t>
      </w:r>
      <w:r w:rsidR="002165FD">
        <w:t>OPA staff</w:t>
      </w:r>
      <w:r w:rsidR="00DB6F14">
        <w:t xml:space="preserve"> supporting this program shared the real risks </w:t>
      </w:r>
      <w:r w:rsidR="000B49B4">
        <w:t>to the tenancies of</w:t>
      </w:r>
      <w:r w:rsidR="00DB6F14">
        <w:t xml:space="preserve"> SRS residents </w:t>
      </w:r>
      <w:r w:rsidR="000B49B4">
        <w:t xml:space="preserve">who might be observed </w:t>
      </w:r>
      <w:r w:rsidR="00EF0C75">
        <w:t xml:space="preserve">by the proprietor </w:t>
      </w:r>
      <w:r w:rsidR="000B49B4">
        <w:t>to complain about their circumstances</w:t>
      </w:r>
      <w:r w:rsidR="00EF0C75">
        <w:t xml:space="preserve">. </w:t>
      </w:r>
      <w:r w:rsidR="00895945">
        <w:t xml:space="preserve">This is one reason that OPA </w:t>
      </w:r>
      <w:r w:rsidR="00336577">
        <w:t>does not seek the views of residents during these phone visits</w:t>
      </w:r>
      <w:r w:rsidR="00B97B82">
        <w:t>. Obviously</w:t>
      </w:r>
      <w:r w:rsidR="006501E4">
        <w:t>,</w:t>
      </w:r>
      <w:r w:rsidR="00B97B82">
        <w:t xml:space="preserve"> when Community Visitors were able to conduct ‘in person’ visits </w:t>
      </w:r>
      <w:r w:rsidR="00FD18E5">
        <w:t>private conversations could be held with residents out of earshot of SRS staff.</w:t>
      </w:r>
      <w:r w:rsidR="00144E79">
        <w:t xml:space="preserve"> OPA does encourage SRS residents to call them directly with their concerns</w:t>
      </w:r>
      <w:r w:rsidR="0058224D">
        <w:t>.</w:t>
      </w:r>
      <w:r w:rsidR="00562F57">
        <w:t xml:space="preserve"> </w:t>
      </w:r>
      <w:r w:rsidR="0058224D">
        <w:t>W</w:t>
      </w:r>
      <w:r w:rsidR="0059265E" w:rsidRPr="0059265E">
        <w:t>hile</w:t>
      </w:r>
      <w:r w:rsidR="0058224D">
        <w:t xml:space="preserve"> OPA has </w:t>
      </w:r>
      <w:r w:rsidR="0059265E" w:rsidRPr="0059265E">
        <w:t xml:space="preserve">made efforts </w:t>
      </w:r>
      <w:r w:rsidR="0059265E">
        <w:t xml:space="preserve">to maintain contact, </w:t>
      </w:r>
      <w:r w:rsidR="0058224D">
        <w:t xml:space="preserve">and SRS providers and staff have participated telephone visits, it remains that </w:t>
      </w:r>
      <w:r w:rsidR="0059265E">
        <w:t xml:space="preserve">SRS residents benefit </w:t>
      </w:r>
      <w:r w:rsidR="0059265E" w:rsidRPr="0059265E">
        <w:t>more from face</w:t>
      </w:r>
      <w:r w:rsidR="00CD7727">
        <w:t>-</w:t>
      </w:r>
      <w:r w:rsidR="0059265E" w:rsidRPr="0059265E">
        <w:t>to</w:t>
      </w:r>
      <w:r w:rsidR="00CD7727">
        <w:t>-</w:t>
      </w:r>
      <w:r w:rsidR="0059265E" w:rsidRPr="0059265E">
        <w:t>face visits.</w:t>
      </w:r>
    </w:p>
    <w:p w14:paraId="5F8B6150" w14:textId="15F81CA7" w:rsidR="00E711F6" w:rsidRDefault="000049AE" w:rsidP="00D25185">
      <w:pPr>
        <w:spacing w:line="276" w:lineRule="auto"/>
        <w:ind w:left="709"/>
      </w:pPr>
      <w:r w:rsidRPr="00F45672">
        <w:t>The Community</w:t>
      </w:r>
      <w:r w:rsidR="006C210B" w:rsidRPr="00F45672">
        <w:t xml:space="preserve"> Visitor program knows of multiple people who have been evicted from SRSs since March but have no</w:t>
      </w:r>
      <w:r w:rsidR="000153EE" w:rsidRPr="00F45672">
        <w:t xml:space="preserve"> capacity to find out what happened to them</w:t>
      </w:r>
      <w:r w:rsidR="000153EE" w:rsidRPr="00CD72E7">
        <w:t>.</w:t>
      </w:r>
    </w:p>
    <w:p w14:paraId="6E6126F0" w14:textId="29CD5CA3" w:rsidR="00E711F6" w:rsidRDefault="00E711F6" w:rsidP="00AA7F86">
      <w:pPr>
        <w:spacing w:line="276" w:lineRule="auto"/>
        <w:ind w:left="709"/>
      </w:pPr>
      <w:r>
        <w:t xml:space="preserve">Some SRSs were </w:t>
      </w:r>
      <w:r w:rsidR="00CE7CC7">
        <w:t xml:space="preserve">initially </w:t>
      </w:r>
      <w:r>
        <w:t xml:space="preserve">unable to make bulk food purchases during the periods where supermarkets placed limits on purchases of some </w:t>
      </w:r>
      <w:r w:rsidR="003F51D2">
        <w:t>item</w:t>
      </w:r>
      <w:r>
        <w:t>s</w:t>
      </w:r>
      <w:r w:rsidR="003F51D2">
        <w:t xml:space="preserve">. </w:t>
      </w:r>
      <w:r w:rsidR="00324CFF">
        <w:t xml:space="preserve">DHHS had given proprietors a letter </w:t>
      </w:r>
      <w:r w:rsidR="00D91CDA">
        <w:t>to help them communicate their right and need to make bulk purchases</w:t>
      </w:r>
      <w:r w:rsidR="003A3657" w:rsidRPr="00CD3751">
        <w:t>.</w:t>
      </w:r>
      <w:r w:rsidR="004F7064">
        <w:t xml:space="preserve"> </w:t>
      </w:r>
    </w:p>
    <w:p w14:paraId="199EC460" w14:textId="70897D7C" w:rsidR="007C0E95" w:rsidRDefault="007C0E95" w:rsidP="00AA7F86">
      <w:pPr>
        <w:spacing w:line="276" w:lineRule="auto"/>
        <w:ind w:left="709"/>
      </w:pPr>
      <w:r>
        <w:t xml:space="preserve">Some pension-level SRSs are supported </w:t>
      </w:r>
      <w:r w:rsidR="00592570">
        <w:t>by the SAVVI program, for which government funds community service organisations to undertake outreach support to SRS in the region</w:t>
      </w:r>
      <w:r w:rsidR="00D01A5B">
        <w:t xml:space="preserve">. OPA </w:t>
      </w:r>
      <w:r w:rsidR="009F11DA">
        <w:t>is aware that</w:t>
      </w:r>
      <w:r w:rsidR="00D01A5B">
        <w:t xml:space="preserve"> while some </w:t>
      </w:r>
      <w:r w:rsidR="005F752A">
        <w:t xml:space="preserve">organisations have done great work under this program, </w:t>
      </w:r>
      <w:r w:rsidR="005F752A">
        <w:lastRenderedPageBreak/>
        <w:t xml:space="preserve">including during COVID-19, </w:t>
      </w:r>
      <w:r w:rsidR="009F11DA">
        <w:t xml:space="preserve">some </w:t>
      </w:r>
      <w:r w:rsidR="005F752A">
        <w:t xml:space="preserve">services in other regions have not </w:t>
      </w:r>
      <w:r w:rsidR="00422175">
        <w:t xml:space="preserve">been well managed and call on DHHS to </w:t>
      </w:r>
      <w:r w:rsidR="00315506">
        <w:t xml:space="preserve">more rigorously </w:t>
      </w:r>
      <w:r w:rsidR="00422175">
        <w:t>oversee these contracts</w:t>
      </w:r>
      <w:r w:rsidR="00315506">
        <w:t>.</w:t>
      </w:r>
    </w:p>
    <w:p w14:paraId="07E50B11" w14:textId="462C3FA2" w:rsidR="00315506" w:rsidRDefault="00315506" w:rsidP="00AA7F86">
      <w:pPr>
        <w:spacing w:line="276" w:lineRule="auto"/>
        <w:ind w:left="709"/>
      </w:pPr>
      <w:r>
        <w:t>In both these example</w:t>
      </w:r>
      <w:r w:rsidR="00C66757">
        <w:t>s</w:t>
      </w:r>
      <w:r>
        <w:t xml:space="preserve">, </w:t>
      </w:r>
      <w:r w:rsidR="00820D25">
        <w:t xml:space="preserve">stronger regulation </w:t>
      </w:r>
      <w:r w:rsidR="00CF6F08">
        <w:t xml:space="preserve">of SAVVI funds </w:t>
      </w:r>
      <w:r w:rsidR="00820D25">
        <w:t xml:space="preserve">and greater support from DHHS in managing </w:t>
      </w:r>
      <w:r w:rsidR="003C76C5">
        <w:t>the new challenges facing SRSs under COVID-19 (for example, by reaching out to major supermarket chains</w:t>
      </w:r>
      <w:r w:rsidR="00CF6F08">
        <w:t xml:space="preserve"> to explain the needs of SRSs) could </w:t>
      </w:r>
      <w:r w:rsidR="009C2B95">
        <w:t xml:space="preserve">have made people’s lives better. </w:t>
      </w:r>
      <w:r w:rsidR="007F271A">
        <w:t xml:space="preserve">The skills </w:t>
      </w:r>
      <w:r w:rsidR="00574339">
        <w:t xml:space="preserve">and capacities required to successfully manage </w:t>
      </w:r>
      <w:r w:rsidR="00E65FE8">
        <w:t xml:space="preserve">disability congregate care settings </w:t>
      </w:r>
      <w:r w:rsidR="00574339">
        <w:t>under a ‘business as usual’ period</w:t>
      </w:r>
      <w:r w:rsidR="00E65FE8">
        <w:t xml:space="preserve"> are clearly </w:t>
      </w:r>
      <w:r w:rsidR="00BF348E">
        <w:t xml:space="preserve">fewer than needed during a public health crisis. Regulators should recognise </w:t>
      </w:r>
      <w:r w:rsidR="00DD3629">
        <w:t xml:space="preserve">and prepare for </w:t>
      </w:r>
      <w:r w:rsidR="00BF348E">
        <w:t>these eventualities</w:t>
      </w:r>
      <w:r w:rsidR="007142E2">
        <w:t>, and</w:t>
      </w:r>
      <w:r w:rsidR="00B23355">
        <w:t xml:space="preserve"> they must</w:t>
      </w:r>
      <w:r w:rsidR="007142E2">
        <w:t xml:space="preserve"> be prepared to take a more active role than </w:t>
      </w:r>
      <w:r w:rsidR="00DD3629">
        <w:t xml:space="preserve">is needed when </w:t>
      </w:r>
      <w:r w:rsidR="00B23355">
        <w:t>things are</w:t>
      </w:r>
      <w:r w:rsidR="00DD3629">
        <w:t xml:space="preserve"> ‘business as usual’</w:t>
      </w:r>
      <w:r w:rsidR="00BF348E">
        <w:t>.</w:t>
      </w:r>
    </w:p>
    <w:p w14:paraId="162DB5EA" w14:textId="77777777" w:rsidR="003B59FC" w:rsidRPr="00194A3C" w:rsidRDefault="003B59FC" w:rsidP="003B59FC">
      <w:pPr>
        <w:spacing w:line="276" w:lineRule="auto"/>
        <w:ind w:left="709"/>
        <w:rPr>
          <w:b/>
          <w:bCs/>
        </w:rPr>
      </w:pPr>
      <w:r w:rsidRPr="00194A3C">
        <w:rPr>
          <w:b/>
          <w:bCs/>
        </w:rPr>
        <w:t>Recommendation 8</w:t>
      </w:r>
    </w:p>
    <w:p w14:paraId="72A894FE" w14:textId="32BF86DC" w:rsidR="003B59FC" w:rsidRDefault="003B59FC" w:rsidP="003B59FC">
      <w:pPr>
        <w:spacing w:line="276" w:lineRule="auto"/>
        <w:ind w:left="709"/>
        <w:rPr>
          <w:b/>
          <w:bCs/>
        </w:rPr>
      </w:pPr>
      <w:r w:rsidRPr="00194A3C">
        <w:rPr>
          <w:b/>
          <w:bCs/>
        </w:rPr>
        <w:t>State Governments responsible for regulating various disability accommodation settings should actively and pre-emptively consider the kinds of additional supports these services might need during public health emergencies.</w:t>
      </w:r>
    </w:p>
    <w:p w14:paraId="2C9A103E" w14:textId="65C66440" w:rsidR="00BB55EE" w:rsidRDefault="00BB55EE" w:rsidP="004753BA">
      <w:pPr>
        <w:spacing w:line="276" w:lineRule="auto"/>
        <w:ind w:left="709"/>
      </w:pPr>
      <w:r>
        <w:t xml:space="preserve">Aged care settings have </w:t>
      </w:r>
      <w:r w:rsidR="00C11070">
        <w:t xml:space="preserve">been heavily </w:t>
      </w:r>
      <w:r w:rsidR="00C11070" w:rsidRPr="005810BF">
        <w:t xml:space="preserve">impacted by </w:t>
      </w:r>
      <w:r w:rsidR="003F593C" w:rsidRPr="005810BF">
        <w:t xml:space="preserve">the second wave of </w:t>
      </w:r>
      <w:r w:rsidR="00C11070" w:rsidRPr="005810BF">
        <w:t>COVID-19. At the time of writing</w:t>
      </w:r>
      <w:r w:rsidR="00A10528" w:rsidRPr="005810BF">
        <w:t>,</w:t>
      </w:r>
      <w:r w:rsidR="00C11070" w:rsidRPr="005810BF">
        <w:t xml:space="preserve"> COVID-19 cases have been identified in</w:t>
      </w:r>
      <w:r w:rsidR="00A10528" w:rsidRPr="005810BF">
        <w:t xml:space="preserve"> </w:t>
      </w:r>
      <w:r w:rsidR="002731C9">
        <w:t>more than 60</w:t>
      </w:r>
      <w:r w:rsidR="00D27DA8" w:rsidRPr="005810BF">
        <w:t xml:space="preserve"> </w:t>
      </w:r>
      <w:r w:rsidR="00A10528" w:rsidRPr="005810BF">
        <w:t xml:space="preserve">aged care facilities </w:t>
      </w:r>
      <w:r w:rsidR="005810BF" w:rsidRPr="005810BF">
        <w:t>across Victoria.</w:t>
      </w:r>
      <w:r w:rsidR="00A26891" w:rsidRPr="005810BF">
        <w:t xml:space="preserve"> As with other service arenas</w:t>
      </w:r>
      <w:r w:rsidR="004543E0" w:rsidRPr="005810BF">
        <w:t>,</w:t>
      </w:r>
      <w:r w:rsidR="004543E0">
        <w:t xml:space="preserve"> many of the usual pathways into and out of aged care and respite beds</w:t>
      </w:r>
      <w:r w:rsidR="007A4532">
        <w:t xml:space="preserve"> have been made more difficult or cut off by COVID-19 restrictions. </w:t>
      </w:r>
      <w:r w:rsidR="006B0915">
        <w:t xml:space="preserve">For example, </w:t>
      </w:r>
      <w:r w:rsidR="003F593C">
        <w:t xml:space="preserve">earlier in the pandemic, </w:t>
      </w:r>
      <w:r w:rsidR="000F4D16">
        <w:t>o</w:t>
      </w:r>
      <w:r w:rsidR="000F4D16" w:rsidRPr="000F4D16">
        <w:t xml:space="preserve">ne of OPA’s clients was placed into aged care respite by their support coordinator, who was worried that services to the home may be suspended during the pandemic. </w:t>
      </w:r>
      <w:r w:rsidR="00503968">
        <w:t>In this case, and others, less restrictive options</w:t>
      </w:r>
      <w:r w:rsidR="00F43B38">
        <w:t xml:space="preserve"> may</w:t>
      </w:r>
      <w:r w:rsidR="00503968">
        <w:t xml:space="preserve"> </w:t>
      </w:r>
      <w:r w:rsidR="00D26538">
        <w:t xml:space="preserve">have been curtailed by </w:t>
      </w:r>
      <w:r w:rsidR="00F43B38">
        <w:t xml:space="preserve">service reactions to </w:t>
      </w:r>
      <w:r w:rsidR="00D26538">
        <w:t>COVID-19</w:t>
      </w:r>
      <w:r w:rsidR="00F43B38">
        <w:t xml:space="preserve"> restrictions</w:t>
      </w:r>
      <w:r w:rsidR="00D26538">
        <w:t>.</w:t>
      </w:r>
    </w:p>
    <w:p w14:paraId="2699E24A" w14:textId="6B577DB6" w:rsidR="00D26538" w:rsidRPr="00BB55EE" w:rsidRDefault="00D26538" w:rsidP="004753BA">
      <w:pPr>
        <w:spacing w:line="276" w:lineRule="auto"/>
        <w:ind w:left="709"/>
      </w:pPr>
      <w:r>
        <w:t xml:space="preserve">To </w:t>
      </w:r>
      <w:r w:rsidR="000E12F6">
        <w:t>manage these difficulties, OPA staff report that in ma</w:t>
      </w:r>
      <w:r w:rsidR="00726EDF">
        <w:t>n</w:t>
      </w:r>
      <w:r w:rsidR="000E12F6">
        <w:t xml:space="preserve">y cases </w:t>
      </w:r>
      <w:r w:rsidR="00726EDF">
        <w:t xml:space="preserve">the </w:t>
      </w:r>
      <w:r w:rsidR="000E12F6">
        <w:t>A</w:t>
      </w:r>
      <w:r w:rsidR="00726EDF">
        <w:t xml:space="preserve">ged </w:t>
      </w:r>
      <w:r w:rsidR="000E12F6">
        <w:t>C</w:t>
      </w:r>
      <w:r w:rsidR="00726EDF">
        <w:t xml:space="preserve">are </w:t>
      </w:r>
      <w:r w:rsidR="000E12F6">
        <w:t>A</w:t>
      </w:r>
      <w:r w:rsidR="00726EDF">
        <w:t xml:space="preserve">ssessment </w:t>
      </w:r>
      <w:r w:rsidR="000E12F6">
        <w:t>S</w:t>
      </w:r>
      <w:r w:rsidR="00726EDF">
        <w:t>ervice (ACAS) ha</w:t>
      </w:r>
      <w:r w:rsidR="00D401C3">
        <w:t>s</w:t>
      </w:r>
      <w:r w:rsidR="00726EDF">
        <w:t xml:space="preserve"> given multiple extensions to respite placements – likely knowing that </w:t>
      </w:r>
      <w:r w:rsidR="006F0B7F">
        <w:t xml:space="preserve">functional </w:t>
      </w:r>
      <w:r w:rsidR="00726EDF">
        <w:t>assessments and exploration of other housing options is very difficult at this time</w:t>
      </w:r>
      <w:r w:rsidR="006F0B7F">
        <w:t>.</w:t>
      </w:r>
      <w:r w:rsidR="00726EDF">
        <w:t xml:space="preserve"> </w:t>
      </w:r>
      <w:r w:rsidR="006F0B7F">
        <w:t xml:space="preserve">This has unfortunately resulted in some </w:t>
      </w:r>
      <w:r w:rsidR="00726EDF">
        <w:t xml:space="preserve">people </w:t>
      </w:r>
      <w:r w:rsidR="006F0B7F">
        <w:t>remaining ‘</w:t>
      </w:r>
      <w:r w:rsidR="00726EDF">
        <w:t>in limbo</w:t>
      </w:r>
      <w:r w:rsidR="006F0B7F">
        <w:t>’</w:t>
      </w:r>
      <w:r w:rsidR="00726EDF">
        <w:t xml:space="preserve"> for many months</w:t>
      </w:r>
      <w:r w:rsidR="006F0B7F">
        <w:t>.</w:t>
      </w:r>
      <w:r w:rsidR="00C00529">
        <w:t xml:space="preserve"> Or, as demonstrated by the story below, </w:t>
      </w:r>
      <w:r w:rsidR="00717209">
        <w:t xml:space="preserve">COVID-19 related </w:t>
      </w:r>
      <w:r w:rsidR="00E166B0">
        <w:t xml:space="preserve">hurdles </w:t>
      </w:r>
      <w:r w:rsidR="001616B9">
        <w:t>to</w:t>
      </w:r>
      <w:r w:rsidR="00E166B0">
        <w:t xml:space="preserve"> exploring less restrictive options</w:t>
      </w:r>
      <w:r w:rsidR="001616B9">
        <w:t xml:space="preserve"> </w:t>
      </w:r>
      <w:r w:rsidR="00610375">
        <w:t xml:space="preserve">may have resulted in poorer outcomes for clients: </w:t>
      </w:r>
    </w:p>
    <w:p w14:paraId="52ED0395" w14:textId="1998C305" w:rsidR="005720B5" w:rsidRPr="00F35B3B" w:rsidRDefault="004D2BD9" w:rsidP="00846AF1">
      <w:pPr>
        <w:spacing w:line="276" w:lineRule="auto"/>
        <w:ind w:left="1440"/>
      </w:pPr>
      <w:r w:rsidRPr="00F35B3B">
        <w:t>Toni</w:t>
      </w:r>
      <w:r w:rsidR="00D401C3">
        <w:t>, who</w:t>
      </w:r>
      <w:r w:rsidRPr="00F35B3B">
        <w:t xml:space="preserve"> has</w:t>
      </w:r>
      <w:r w:rsidR="00E52889" w:rsidRPr="00F35B3B">
        <w:t xml:space="preserve"> advanced dementia</w:t>
      </w:r>
      <w:r w:rsidR="00D401C3">
        <w:t>,</w:t>
      </w:r>
      <w:r w:rsidR="00E52889" w:rsidRPr="00F35B3B">
        <w:t xml:space="preserve"> was placed in</w:t>
      </w:r>
      <w:r w:rsidR="00D6239B" w:rsidRPr="00F35B3B">
        <w:t xml:space="preserve"> respite at an aged care facility</w:t>
      </w:r>
      <w:r w:rsidR="00594B78" w:rsidRPr="00F35B3B">
        <w:t xml:space="preserve"> when </w:t>
      </w:r>
      <w:r w:rsidR="00FE4D06" w:rsidRPr="00F35B3B">
        <w:t>her</w:t>
      </w:r>
      <w:r w:rsidR="00594B78" w:rsidRPr="00F35B3B">
        <w:t xml:space="preserve"> carer decided they could no lon</w:t>
      </w:r>
      <w:r w:rsidR="0005088C" w:rsidRPr="00F35B3B">
        <w:t xml:space="preserve">ger provide care. A guardian was appointed to decide where </w:t>
      </w:r>
      <w:r w:rsidR="00E02668" w:rsidRPr="00F35B3B">
        <w:t>she</w:t>
      </w:r>
      <w:r w:rsidR="0005088C" w:rsidRPr="00F35B3B">
        <w:t xml:space="preserve"> should live</w:t>
      </w:r>
      <w:r w:rsidR="003C11FC" w:rsidRPr="00F35B3B">
        <w:t xml:space="preserve">. While another family member wanted to </w:t>
      </w:r>
      <w:r w:rsidR="00B545B0" w:rsidRPr="00F35B3B">
        <w:t>look after</w:t>
      </w:r>
      <w:r w:rsidR="003C11FC" w:rsidRPr="00F35B3B">
        <w:t xml:space="preserve"> </w:t>
      </w:r>
      <w:r w:rsidR="00B545B0" w:rsidRPr="00F35B3B">
        <w:t>Toni at home</w:t>
      </w:r>
      <w:r w:rsidR="00D35427" w:rsidRPr="00F35B3B">
        <w:t>, COVID-related restrictions</w:t>
      </w:r>
      <w:r w:rsidR="002338D3" w:rsidRPr="00F35B3B">
        <w:t xml:space="preserve"> at the aged care facility prevented the family member from doing</w:t>
      </w:r>
      <w:r w:rsidR="00F203CD" w:rsidRPr="00F35B3B">
        <w:t xml:space="preserve"> carer training at the facility with Toni</w:t>
      </w:r>
      <w:r w:rsidR="003344DB" w:rsidRPr="00F35B3B">
        <w:t xml:space="preserve">. </w:t>
      </w:r>
      <w:r w:rsidR="00907E0D" w:rsidRPr="00F35B3B">
        <w:t xml:space="preserve">Neither could </w:t>
      </w:r>
      <w:r w:rsidR="003344DB" w:rsidRPr="00F35B3B">
        <w:t>Toni</w:t>
      </w:r>
      <w:r w:rsidR="00671263" w:rsidRPr="00F35B3B">
        <w:t xml:space="preserve"> </w:t>
      </w:r>
      <w:r w:rsidR="005E464F" w:rsidRPr="00F35B3B">
        <w:t xml:space="preserve">be assessed by the OT </w:t>
      </w:r>
      <w:r w:rsidR="00907E0D" w:rsidRPr="00F35B3B">
        <w:t>at her family member’s home</w:t>
      </w:r>
      <w:r w:rsidR="00671263" w:rsidRPr="00F35B3B">
        <w:t>, as the facility would have insisted on a 14-day quarantine period when she returned</w:t>
      </w:r>
      <w:r w:rsidR="009209F1" w:rsidRPr="00F35B3B">
        <w:t xml:space="preserve"> and the guardian fel</w:t>
      </w:r>
      <w:r w:rsidR="005E464F" w:rsidRPr="00F35B3B">
        <w:t>t</w:t>
      </w:r>
      <w:r w:rsidR="009209F1" w:rsidRPr="00F35B3B">
        <w:t xml:space="preserve"> that would be too onerous</w:t>
      </w:r>
      <w:r w:rsidR="005E464F" w:rsidRPr="00F35B3B">
        <w:t xml:space="preserve"> for Toni</w:t>
      </w:r>
      <w:r w:rsidR="00060ACF" w:rsidRPr="00F35B3B">
        <w:t xml:space="preserve">. Without </w:t>
      </w:r>
      <w:r w:rsidR="00990CEC" w:rsidRPr="00F35B3B">
        <w:t xml:space="preserve">the ability to assess the likely success of this living option, the guardian </w:t>
      </w:r>
      <w:r w:rsidR="007614F8" w:rsidRPr="00F35B3B">
        <w:t xml:space="preserve">has since </w:t>
      </w:r>
      <w:r w:rsidR="004859A9" w:rsidRPr="00F35B3B">
        <w:t xml:space="preserve">successfully </w:t>
      </w:r>
      <w:r w:rsidR="004468C3" w:rsidRPr="00F35B3B">
        <w:t xml:space="preserve">sought three extensions from ACAS of </w:t>
      </w:r>
      <w:r w:rsidR="007614F8" w:rsidRPr="00F35B3B">
        <w:t>Toni’s</w:t>
      </w:r>
      <w:r w:rsidR="004468C3" w:rsidRPr="00F35B3B">
        <w:t xml:space="preserve"> respite placement</w:t>
      </w:r>
      <w:r w:rsidR="007614F8" w:rsidRPr="00F35B3B">
        <w:t>.</w:t>
      </w:r>
      <w:r w:rsidR="000B506C" w:rsidRPr="00F35B3B">
        <w:t xml:space="preserve"> Toni is now receiving palliative care</w:t>
      </w:r>
      <w:r w:rsidR="00A74B82" w:rsidRPr="00F35B3B">
        <w:t xml:space="preserve"> at the aged care facility.</w:t>
      </w:r>
    </w:p>
    <w:p w14:paraId="588C2F41" w14:textId="62BF218C" w:rsidR="00F66DA3" w:rsidRPr="00F66DA3" w:rsidRDefault="003111C8" w:rsidP="00EB72E3">
      <w:pPr>
        <w:spacing w:line="276" w:lineRule="auto"/>
        <w:ind w:left="709"/>
      </w:pPr>
      <w:r>
        <w:tab/>
      </w:r>
      <w:r w:rsidR="00B52AFD">
        <w:t xml:space="preserve">Aged care facilities have also </w:t>
      </w:r>
      <w:r w:rsidR="00D92AB7">
        <w:t>wrestled</w:t>
      </w:r>
      <w:r w:rsidR="00B52AFD">
        <w:t xml:space="preserve"> with the same difficult questions as other congregate care settings</w:t>
      </w:r>
      <w:r w:rsidR="008E3CD8">
        <w:t>. OPA’s advice service ha</w:t>
      </w:r>
      <w:r w:rsidR="00EB72E3">
        <w:t>s</w:t>
      </w:r>
      <w:r w:rsidR="008E3CD8">
        <w:t xml:space="preserve"> received calls from </w:t>
      </w:r>
      <w:r w:rsidR="003F593C">
        <w:t xml:space="preserve">some </w:t>
      </w:r>
      <w:r w:rsidR="008E3CD8">
        <w:t xml:space="preserve">aged care facilities who were </w:t>
      </w:r>
      <w:r w:rsidR="00D92AB7">
        <w:t>struggling</w:t>
      </w:r>
      <w:r w:rsidR="00EB72E3">
        <w:t xml:space="preserve"> with how to manage</w:t>
      </w:r>
      <w:r w:rsidR="00F66DA3" w:rsidRPr="003111C8">
        <w:t xml:space="preserve"> residents who were mobile </w:t>
      </w:r>
      <w:r w:rsidR="00EB72E3">
        <w:t xml:space="preserve">and </w:t>
      </w:r>
      <w:r w:rsidR="00F66DA3" w:rsidRPr="003111C8">
        <w:t xml:space="preserve">going out </w:t>
      </w:r>
      <w:r w:rsidR="00C9438F">
        <w:t xml:space="preserve">into the community. These were residents </w:t>
      </w:r>
      <w:r w:rsidR="00F66DA3" w:rsidRPr="003111C8">
        <w:t>who</w:t>
      </w:r>
      <w:r w:rsidR="00F66DA3" w:rsidRPr="00B52AFD">
        <w:t xml:space="preserve"> didn't understand </w:t>
      </w:r>
      <w:r w:rsidR="00C9438F">
        <w:t xml:space="preserve">the </w:t>
      </w:r>
      <w:r w:rsidR="00F66DA3" w:rsidRPr="00B52AFD">
        <w:t>risks</w:t>
      </w:r>
      <w:r w:rsidR="00C9438F">
        <w:t xml:space="preserve"> of COVID-19 transmission</w:t>
      </w:r>
      <w:r w:rsidR="009F49BE">
        <w:t>, nor how to mitigate the risks,</w:t>
      </w:r>
      <w:r w:rsidR="00F66DA3" w:rsidRPr="00B52AFD">
        <w:t xml:space="preserve"> and </w:t>
      </w:r>
      <w:r w:rsidR="00E655B3">
        <w:t xml:space="preserve">they were </w:t>
      </w:r>
      <w:r w:rsidR="00F66DA3" w:rsidRPr="00B52AFD">
        <w:t xml:space="preserve">coming home </w:t>
      </w:r>
      <w:r w:rsidR="00E655B3">
        <w:t xml:space="preserve">to the facility </w:t>
      </w:r>
      <w:r w:rsidR="00F66DA3" w:rsidRPr="00B52AFD">
        <w:lastRenderedPageBreak/>
        <w:t>potentially carrying the virus</w:t>
      </w:r>
      <w:r w:rsidR="00E655B3">
        <w:t>. S</w:t>
      </w:r>
      <w:r w:rsidR="00F66DA3" w:rsidRPr="00B52AFD">
        <w:t xml:space="preserve">ome facilities </w:t>
      </w:r>
      <w:r w:rsidR="006B5B3F">
        <w:t xml:space="preserve">reported </w:t>
      </w:r>
      <w:r w:rsidR="00C86581">
        <w:t xml:space="preserve">to OPA </w:t>
      </w:r>
      <w:r w:rsidR="006B5B3F">
        <w:t xml:space="preserve">that they </w:t>
      </w:r>
      <w:r w:rsidR="00F66DA3" w:rsidRPr="00B52AFD">
        <w:t>were giving those residents different areas to eat in to try and separate them from other residents without using restrictive interventions to keep them locked up.</w:t>
      </w:r>
    </w:p>
    <w:p w14:paraId="7EA9CA52" w14:textId="01397485" w:rsidR="00553460" w:rsidRDefault="00553460" w:rsidP="00553460">
      <w:pPr>
        <w:pStyle w:val="Heading2OPA"/>
        <w:numPr>
          <w:ilvl w:val="1"/>
          <w:numId w:val="16"/>
        </w:numPr>
        <w:ind w:left="709" w:hanging="709"/>
      </w:pPr>
      <w:bookmarkStart w:id="21" w:name="_Toc46949138"/>
      <w:r>
        <w:t>Non-residential services</w:t>
      </w:r>
      <w:bookmarkEnd w:id="21"/>
    </w:p>
    <w:p w14:paraId="5390E24D" w14:textId="79262825" w:rsidR="006B5CA6" w:rsidRDefault="002453C9" w:rsidP="00180C54">
      <w:pPr>
        <w:spacing w:line="276" w:lineRule="auto"/>
        <w:ind w:left="709"/>
      </w:pPr>
      <w:r>
        <w:t>OPA guardians</w:t>
      </w:r>
      <w:r w:rsidR="00B95B9E">
        <w:t xml:space="preserve">, who </w:t>
      </w:r>
      <w:r w:rsidR="00FB4B5D">
        <w:t>may</w:t>
      </w:r>
      <w:r w:rsidR="00B95B9E">
        <w:t xml:space="preserve"> hold ‘access to services’ powers in relation to their clients</w:t>
      </w:r>
      <w:r w:rsidR="00FB4B5D">
        <w:t xml:space="preserve">, have </w:t>
      </w:r>
      <w:r w:rsidR="00CD4F8E">
        <w:t xml:space="preserve">experienced a great deal of confusion </w:t>
      </w:r>
      <w:r w:rsidR="006C49AB">
        <w:t>due to</w:t>
      </w:r>
      <w:r w:rsidR="00CD4F8E">
        <w:t xml:space="preserve"> regional and provider inconsistencies</w:t>
      </w:r>
      <w:r w:rsidR="006C49AB">
        <w:t xml:space="preserve"> in relation to how and if they decide to continue to offer their regular services</w:t>
      </w:r>
      <w:r w:rsidR="00CD4F8E">
        <w:t xml:space="preserve"> </w:t>
      </w:r>
      <w:r w:rsidR="006C49AB">
        <w:t xml:space="preserve">during </w:t>
      </w:r>
      <w:r w:rsidR="00927D8C">
        <w:t>the COVID-19 pandemic.</w:t>
      </w:r>
      <w:r w:rsidR="005D2DA2">
        <w:t xml:space="preserve"> </w:t>
      </w:r>
      <w:r w:rsidR="002B6C73">
        <w:t xml:space="preserve">As discussed above, in relation to residential disability services, organisational decision-making </w:t>
      </w:r>
      <w:r w:rsidR="006E02FC">
        <w:t>with a</w:t>
      </w:r>
      <w:r w:rsidR="002B6C73">
        <w:t xml:space="preserve"> focus on staff safety</w:t>
      </w:r>
      <w:r w:rsidR="006E02FC">
        <w:t xml:space="preserve"> and, also likely, a ‘</w:t>
      </w:r>
      <w:r w:rsidR="006E02FC" w:rsidRPr="00B60664">
        <w:t>do no harm’</w:t>
      </w:r>
      <w:r w:rsidR="002B6C73">
        <w:t xml:space="preserve"> </w:t>
      </w:r>
      <w:r w:rsidR="006E02FC">
        <w:t xml:space="preserve">to </w:t>
      </w:r>
      <w:r w:rsidR="00E833FE">
        <w:t>clients approach meant many disability services ceased face-to-face service delivery</w:t>
      </w:r>
      <w:r w:rsidR="00CE5857">
        <w:t>. OPA staff report this has been the case for Occupational Therapists</w:t>
      </w:r>
      <w:r w:rsidR="00B06B7D">
        <w:t>, neuropsychologists and also some behaviour support specialists</w:t>
      </w:r>
      <w:r w:rsidR="00076492">
        <w:t>. Some support workers who previously provided community access</w:t>
      </w:r>
      <w:r w:rsidR="00172BC9">
        <w:t xml:space="preserve"> supports now provide social contact using technology – for example, reading the newspaper</w:t>
      </w:r>
      <w:r w:rsidR="00ED013C">
        <w:t xml:space="preserve"> or other materials to clients or just having a chat.</w:t>
      </w:r>
    </w:p>
    <w:p w14:paraId="47DEFD2A" w14:textId="12AB34A6" w:rsidR="00186CB7" w:rsidRDefault="00186CB7" w:rsidP="00180C54">
      <w:pPr>
        <w:pStyle w:val="NormalOPA"/>
      </w:pPr>
      <w:r>
        <w:t xml:space="preserve">Again, because </w:t>
      </w:r>
      <w:r w:rsidR="00921024">
        <w:t xml:space="preserve">service providers are having to balance their duty of care for their staff with </w:t>
      </w:r>
      <w:r w:rsidR="00C35B08">
        <w:t xml:space="preserve">the risks and benefits of face-to-face service delivery to clients, decisions are patchwork and organisation </w:t>
      </w:r>
      <w:r w:rsidR="00B06EB2">
        <w:t>specific.</w:t>
      </w:r>
    </w:p>
    <w:p w14:paraId="2CE54969" w14:textId="4667A44B" w:rsidR="00E64159" w:rsidRDefault="00C426C9" w:rsidP="00180C54">
      <w:pPr>
        <w:pStyle w:val="NormalOPA"/>
      </w:pPr>
      <w:r>
        <w:t xml:space="preserve">Here there are two key cohorts who are seriously disadvantaged and perhaps </w:t>
      </w:r>
      <w:r w:rsidR="005A306E">
        <w:t>systematically neglected</w:t>
      </w:r>
      <w:r w:rsidR="0054300A">
        <w:t xml:space="preserve"> by the public health advice to shift to online </w:t>
      </w:r>
      <w:r w:rsidR="00941DF1">
        <w:t xml:space="preserve">service delivery like telehealth. The first group </w:t>
      </w:r>
      <w:r w:rsidR="0047047B">
        <w:t>include all those people for whom onl</w:t>
      </w:r>
      <w:r w:rsidR="00C36A6A">
        <w:t>i</w:t>
      </w:r>
      <w:r w:rsidR="0047047B">
        <w:t xml:space="preserve">ne engagement is </w:t>
      </w:r>
      <w:r w:rsidR="00C36A6A">
        <w:t>not appropriate or effective. This may be because of their disabil</w:t>
      </w:r>
      <w:r w:rsidR="00FC4C08">
        <w:t>ity, poverty, or because of the lack of support they have to utilise</w:t>
      </w:r>
      <w:r w:rsidR="00090BE7">
        <w:t xml:space="preserve"> available technological solutions</w:t>
      </w:r>
      <w:r w:rsidR="00E962BC">
        <w:t>.</w:t>
      </w:r>
      <w:r w:rsidR="007577B9">
        <w:t xml:space="preserve"> </w:t>
      </w:r>
      <w:r w:rsidR="00861ED4">
        <w:t>The second group</w:t>
      </w:r>
      <w:r w:rsidR="00276B55">
        <w:t xml:space="preserve"> include all the people </w:t>
      </w:r>
      <w:r w:rsidR="00DB7A1D">
        <w:t>waiting on</w:t>
      </w:r>
      <w:r w:rsidR="00276B55">
        <w:t xml:space="preserve"> functional assessments</w:t>
      </w:r>
      <w:r w:rsidR="00C6748C">
        <w:t xml:space="preserve"> or behaviour support specialists </w:t>
      </w:r>
      <w:r w:rsidR="00672D1A">
        <w:t>which are n</w:t>
      </w:r>
      <w:r w:rsidR="00534F40">
        <w:t xml:space="preserve">ecessary to </w:t>
      </w:r>
      <w:r w:rsidR="00976824">
        <w:t xml:space="preserve">move forward on NDIS plan development or </w:t>
      </w:r>
      <w:r w:rsidR="00672D1A">
        <w:t xml:space="preserve">plan </w:t>
      </w:r>
      <w:r w:rsidR="00976824">
        <w:t xml:space="preserve">reviews. This </w:t>
      </w:r>
      <w:r w:rsidR="00B60664">
        <w:t>limited</w:t>
      </w:r>
      <w:r w:rsidR="00976824">
        <w:t xml:space="preserve"> access to face-to-face assessments </w:t>
      </w:r>
      <w:r w:rsidR="00A414E5">
        <w:t>mean</w:t>
      </w:r>
      <w:r w:rsidR="00992075">
        <w:t>s</w:t>
      </w:r>
      <w:r w:rsidR="00A414E5">
        <w:t xml:space="preserve"> that the detail required by NDIA planners is not able to be gathered and so participants (or future participants) are stuck without appropriate supports</w:t>
      </w:r>
      <w:r w:rsidR="007114B3">
        <w:t>, or without</w:t>
      </w:r>
      <w:r w:rsidR="000D2B67">
        <w:t xml:space="preserve"> the</w:t>
      </w:r>
      <w:r w:rsidR="007114B3">
        <w:t xml:space="preserve"> approvals needed to seek more appropriate living arrangements.</w:t>
      </w:r>
      <w:r w:rsidR="000D2B67">
        <w:t xml:space="preserve"> As COVID-19 related lockdowns</w:t>
      </w:r>
      <w:r w:rsidR="00811248">
        <w:t xml:space="preserve"> are re-established here in Melbourne, some people will have been without appropriate supports for </w:t>
      </w:r>
      <w:r w:rsidR="0042101D">
        <w:t>four months or more, with no certainty about when face-to-face assessments will be possible.</w:t>
      </w:r>
    </w:p>
    <w:p w14:paraId="7CD2B9BF" w14:textId="31FB5A03" w:rsidR="00285B4B" w:rsidRDefault="00B60664" w:rsidP="00B93BE0">
      <w:pPr>
        <w:ind w:left="709"/>
      </w:pPr>
      <w:r>
        <w:t>OPA notes the changes announced by the NDIA early in the pandemic, and at various stages throughout.</w:t>
      </w:r>
      <w:r>
        <w:rPr>
          <w:rStyle w:val="FootnoteReference"/>
        </w:rPr>
        <w:footnoteReference w:id="21"/>
      </w:r>
      <w:r>
        <w:t xml:space="preserve"> </w:t>
      </w:r>
      <w:r w:rsidR="00C61F4F">
        <w:t>OPA also notes that th</w:t>
      </w:r>
      <w:r w:rsidR="006B07C2">
        <w:t xml:space="preserve">e NDIA also published an Easy Read version of the changes to the way the NDIS works for participants. </w:t>
      </w:r>
      <w:r>
        <w:t>OPA also makes the following recommendation</w:t>
      </w:r>
      <w:r w:rsidR="00285B4B">
        <w:t>s</w:t>
      </w:r>
      <w:r>
        <w:t>.</w:t>
      </w:r>
    </w:p>
    <w:p w14:paraId="20469E0B" w14:textId="3BDD2B69" w:rsidR="003B59FC" w:rsidRPr="00194A3C" w:rsidRDefault="003B59FC" w:rsidP="003B59FC">
      <w:pPr>
        <w:ind w:left="709"/>
        <w:rPr>
          <w:b/>
          <w:bCs/>
          <w:lang w:eastAsia="en-US"/>
        </w:rPr>
      </w:pPr>
      <w:r w:rsidRPr="00194A3C">
        <w:rPr>
          <w:b/>
          <w:bCs/>
          <w:lang w:eastAsia="en-US"/>
        </w:rPr>
        <w:t xml:space="preserve">Recommendation </w:t>
      </w:r>
      <w:r w:rsidR="008D2C23">
        <w:rPr>
          <w:b/>
          <w:bCs/>
          <w:lang w:eastAsia="en-US"/>
        </w:rPr>
        <w:t>9</w:t>
      </w:r>
    </w:p>
    <w:p w14:paraId="5029C7F0" w14:textId="1116AB3D" w:rsidR="003B59FC" w:rsidRDefault="003B59FC" w:rsidP="003B59FC">
      <w:pPr>
        <w:ind w:left="709"/>
        <w:rPr>
          <w:b/>
          <w:bCs/>
          <w:lang w:eastAsia="en-US"/>
        </w:rPr>
      </w:pPr>
      <w:r w:rsidRPr="00194A3C">
        <w:rPr>
          <w:b/>
          <w:bCs/>
        </w:rPr>
        <w:t xml:space="preserve">During a public health emergency, </w:t>
      </w:r>
      <w:r w:rsidRPr="00194A3C">
        <w:rPr>
          <w:b/>
          <w:bCs/>
          <w:lang w:eastAsia="en-US"/>
        </w:rPr>
        <w:t>NDIA should consider alternative or interim arrangements for developing and approving plans that would normally require face-to-face allied health or specialist assessments so that people are not trapped without sufficient supports.</w:t>
      </w:r>
    </w:p>
    <w:p w14:paraId="2DB3FC68" w14:textId="77777777" w:rsidR="00FA6A22" w:rsidRDefault="00FA6A22" w:rsidP="003B59FC">
      <w:pPr>
        <w:ind w:left="709"/>
        <w:rPr>
          <w:b/>
          <w:bCs/>
          <w:lang w:eastAsia="en-US"/>
        </w:rPr>
      </w:pPr>
    </w:p>
    <w:p w14:paraId="5DC7CA8F" w14:textId="1074A098" w:rsidR="003E68CE" w:rsidRPr="00194A3C" w:rsidRDefault="003E68CE" w:rsidP="003E68CE">
      <w:pPr>
        <w:ind w:left="709"/>
        <w:rPr>
          <w:b/>
          <w:bCs/>
          <w:lang w:eastAsia="en-US"/>
        </w:rPr>
      </w:pPr>
      <w:r w:rsidRPr="00194A3C">
        <w:rPr>
          <w:b/>
          <w:bCs/>
          <w:lang w:eastAsia="en-US"/>
        </w:rPr>
        <w:lastRenderedPageBreak/>
        <w:t>Recommendation 1</w:t>
      </w:r>
      <w:r w:rsidR="008D2C23">
        <w:rPr>
          <w:b/>
          <w:bCs/>
          <w:lang w:eastAsia="en-US"/>
        </w:rPr>
        <w:t>0</w:t>
      </w:r>
    </w:p>
    <w:p w14:paraId="54B2C5F6" w14:textId="77777777" w:rsidR="003E68CE" w:rsidRPr="00194A3C" w:rsidRDefault="003E68CE" w:rsidP="003E68CE">
      <w:pPr>
        <w:ind w:left="709"/>
        <w:rPr>
          <w:b/>
          <w:bCs/>
          <w:lang w:eastAsia="en-US"/>
        </w:rPr>
      </w:pPr>
      <w:r w:rsidRPr="00194A3C">
        <w:rPr>
          <w:b/>
          <w:bCs/>
        </w:rPr>
        <w:t xml:space="preserve">During a public health emergency, </w:t>
      </w:r>
      <w:r w:rsidRPr="00194A3C">
        <w:rPr>
          <w:b/>
          <w:bCs/>
          <w:lang w:eastAsia="en-US"/>
        </w:rPr>
        <w:t xml:space="preserve">NDIA should consider changes to funding practices that promote flexibility and enable participants to be better supported. </w:t>
      </w:r>
    </w:p>
    <w:p w14:paraId="29631181" w14:textId="2596057B" w:rsidR="00903298" w:rsidRPr="00081AD6" w:rsidRDefault="00903298" w:rsidP="00B13112">
      <w:pPr>
        <w:pStyle w:val="Heading1OPA"/>
        <w:numPr>
          <w:ilvl w:val="0"/>
          <w:numId w:val="16"/>
        </w:numPr>
        <w:ind w:left="709" w:hanging="709"/>
        <w:rPr>
          <w:rFonts w:eastAsia="Times New Roman"/>
          <w:szCs w:val="32"/>
          <w:lang w:eastAsia="en-AU"/>
        </w:rPr>
      </w:pPr>
      <w:bookmarkStart w:id="22" w:name="_Toc46949139"/>
      <w:r w:rsidRPr="0062342B">
        <w:t>Main</w:t>
      </w:r>
      <w:r w:rsidRPr="003078A7">
        <w:t>stream services</w:t>
      </w:r>
      <w:r w:rsidR="00414872" w:rsidRPr="0071580A">
        <w:t xml:space="preserve"> and </w:t>
      </w:r>
      <w:r w:rsidR="00165C39" w:rsidRPr="00B42EDE">
        <w:t>the pandemic</w:t>
      </w:r>
      <w:bookmarkEnd w:id="22"/>
    </w:p>
    <w:p w14:paraId="504BED23" w14:textId="3758B4A3" w:rsidR="00E573A2" w:rsidRDefault="000C3C11" w:rsidP="008676B2">
      <w:pPr>
        <w:spacing w:line="276" w:lineRule="auto"/>
        <w:ind w:left="709"/>
      </w:pPr>
      <w:r>
        <w:t>A</w:t>
      </w:r>
      <w:r w:rsidR="004E20B4">
        <w:t>long with everything else in our society</w:t>
      </w:r>
      <w:r w:rsidR="006F2A93">
        <w:t>, mains</w:t>
      </w:r>
      <w:r w:rsidR="001A6CF1">
        <w:t>tream service delivery has been strongly impacted by the pandemic.</w:t>
      </w:r>
      <w:r w:rsidR="00782A6F">
        <w:t xml:space="preserve"> </w:t>
      </w:r>
      <w:r w:rsidR="00186D4F">
        <w:t xml:space="preserve">In preparation for </w:t>
      </w:r>
      <w:r w:rsidR="00A92F3E">
        <w:t xml:space="preserve">anticipated </w:t>
      </w:r>
      <w:r w:rsidR="00A90613">
        <w:t>pressures on the health system</w:t>
      </w:r>
      <w:r w:rsidR="00F8306A">
        <w:t xml:space="preserve">, </w:t>
      </w:r>
      <w:r w:rsidR="006C5CDC">
        <w:t>elective surger</w:t>
      </w:r>
      <w:r w:rsidR="00EA656E">
        <w:t>y offerings</w:t>
      </w:r>
      <w:r w:rsidR="006C5CDC">
        <w:t xml:space="preserve"> </w:t>
      </w:r>
      <w:r w:rsidR="00EA656E">
        <w:t>were paused</w:t>
      </w:r>
      <w:r w:rsidR="005810F0">
        <w:t xml:space="preserve"> and </w:t>
      </w:r>
      <w:r w:rsidR="003120CD">
        <w:t>significant efforts were made to clear hospital beds</w:t>
      </w:r>
      <w:r w:rsidR="00422129">
        <w:t>.</w:t>
      </w:r>
      <w:r w:rsidR="00DE32A9">
        <w:t xml:space="preserve"> General Practitioners, outpatient clinics and community </w:t>
      </w:r>
      <w:r w:rsidR="00CE7F25">
        <w:t xml:space="preserve">mental </w:t>
      </w:r>
      <w:r w:rsidR="00DE32A9">
        <w:t>health services</w:t>
      </w:r>
      <w:r w:rsidR="002F63B3">
        <w:t xml:space="preserve"> rapidly </w:t>
      </w:r>
      <w:r w:rsidR="004C55D7">
        <w:t>embraced telehealth services</w:t>
      </w:r>
      <w:r w:rsidR="00C64802">
        <w:t xml:space="preserve"> to slow transmission of the virus.</w:t>
      </w:r>
      <w:r w:rsidR="00D15718">
        <w:t xml:space="preserve"> </w:t>
      </w:r>
      <w:r w:rsidR="000E69FE">
        <w:t>As mentioned above</w:t>
      </w:r>
      <w:r w:rsidR="00D15077">
        <w:t xml:space="preserve">, some people with disability, and particularly people with significant cognitive impairment, </w:t>
      </w:r>
      <w:r w:rsidR="00066079">
        <w:t xml:space="preserve">would not be well served by </w:t>
      </w:r>
      <w:r w:rsidR="009151DB">
        <w:t xml:space="preserve">moves to </w:t>
      </w:r>
      <w:r w:rsidR="00066079">
        <w:t>telehealth</w:t>
      </w:r>
      <w:r w:rsidR="00AD1A3D">
        <w:t xml:space="preserve"> </w:t>
      </w:r>
      <w:r w:rsidR="009F5974">
        <w:t>or online service delivery.</w:t>
      </w:r>
      <w:r w:rsidR="00D0188C">
        <w:t xml:space="preserve"> In Australia and overseas</w:t>
      </w:r>
      <w:r w:rsidR="004B699B">
        <w:t xml:space="preserve">, people have avoided attending health settings </w:t>
      </w:r>
      <w:r w:rsidR="009004BB">
        <w:t xml:space="preserve">(most likely) due to fears </w:t>
      </w:r>
      <w:r w:rsidR="00615854">
        <w:t>of virus transmission in those settings</w:t>
      </w:r>
      <w:r w:rsidR="00596EB8">
        <w:t xml:space="preserve">. This may have long-term health impacts </w:t>
      </w:r>
      <w:r w:rsidR="003D6C75">
        <w:t xml:space="preserve">if people do not obtain early diagnoses </w:t>
      </w:r>
      <w:r w:rsidR="00926398">
        <w:t xml:space="preserve">of </w:t>
      </w:r>
      <w:r w:rsidR="006B3BD2">
        <w:t xml:space="preserve">new health conditions. People with underlying health conditions, including people with disability, may </w:t>
      </w:r>
      <w:r w:rsidR="00D30A7B">
        <w:t xml:space="preserve">have </w:t>
      </w:r>
      <w:r w:rsidR="006B3BD2">
        <w:t>be</w:t>
      </w:r>
      <w:r w:rsidR="00D30A7B">
        <w:t>en</w:t>
      </w:r>
      <w:r w:rsidR="006B3BD2">
        <w:t xml:space="preserve"> </w:t>
      </w:r>
      <w:r w:rsidR="00800992">
        <w:t>even more reticent to attend health care settings</w:t>
      </w:r>
      <w:r w:rsidR="00B64D2B">
        <w:t xml:space="preserve"> due to the </w:t>
      </w:r>
      <w:r w:rsidR="00E764ED">
        <w:t>larger</w:t>
      </w:r>
      <w:r w:rsidR="00B64D2B">
        <w:t xml:space="preserve"> risk</w:t>
      </w:r>
      <w:r w:rsidR="00227BBD">
        <w:t xml:space="preserve"> </w:t>
      </w:r>
      <w:r w:rsidR="00E764ED">
        <w:t>COVID-19 poses to their health.</w:t>
      </w:r>
    </w:p>
    <w:p w14:paraId="6B091076" w14:textId="32DC915F" w:rsidR="00860501" w:rsidRDefault="00DF01DA" w:rsidP="00946C21">
      <w:pPr>
        <w:spacing w:line="276" w:lineRule="auto"/>
        <w:ind w:left="709"/>
      </w:pPr>
      <w:r>
        <w:t xml:space="preserve">Overall, </w:t>
      </w:r>
      <w:r w:rsidR="00D0188C">
        <w:t xml:space="preserve">OPA staff </w:t>
      </w:r>
      <w:r w:rsidR="00801F3F">
        <w:t xml:space="preserve">have noted </w:t>
      </w:r>
      <w:r w:rsidR="00F643D7">
        <w:t xml:space="preserve">significant practice changes </w:t>
      </w:r>
      <w:r w:rsidR="00F016B1">
        <w:t>and impacts on ‘business as usual’</w:t>
      </w:r>
      <w:r w:rsidR="006A2530">
        <w:t xml:space="preserve">. This has resulted </w:t>
      </w:r>
      <w:r w:rsidR="00BB204F">
        <w:t>i</w:t>
      </w:r>
      <w:r w:rsidR="006A2530">
        <w:t xml:space="preserve">n unforeseen and sometimes unmitigated negative impacts on </w:t>
      </w:r>
      <w:r w:rsidR="00BB204F">
        <w:t xml:space="preserve">OPA clients </w:t>
      </w:r>
      <w:r w:rsidR="00A67566">
        <w:t xml:space="preserve">in mainstream health settings, </w:t>
      </w:r>
      <w:r w:rsidR="00AB7881">
        <w:t>including hospital and ambulance</w:t>
      </w:r>
      <w:r w:rsidR="009F4E75">
        <w:t xml:space="preserve"> settings</w:t>
      </w:r>
      <w:r w:rsidR="00731856">
        <w:t>,</w:t>
      </w:r>
      <w:r w:rsidR="00DF41E0">
        <w:t xml:space="preserve"> and</w:t>
      </w:r>
      <w:r w:rsidR="006B3013">
        <w:t xml:space="preserve"> </w:t>
      </w:r>
      <w:r w:rsidR="00731856">
        <w:t xml:space="preserve">in </w:t>
      </w:r>
      <w:r w:rsidR="00565329">
        <w:t xml:space="preserve">criminal and civil </w:t>
      </w:r>
      <w:r w:rsidR="002D2121">
        <w:t>justice system</w:t>
      </w:r>
      <w:r w:rsidR="00565329">
        <w:t>s.</w:t>
      </w:r>
      <w:r w:rsidR="00696A3E">
        <w:t xml:space="preserve"> Along with our anecdotal experiences we are aware that </w:t>
      </w:r>
      <w:r w:rsidR="00845154">
        <w:t>limitations</w:t>
      </w:r>
      <w:r w:rsidR="009F4E75">
        <w:t xml:space="preserve"> </w:t>
      </w:r>
      <w:r w:rsidR="00264290">
        <w:t xml:space="preserve">on these </w:t>
      </w:r>
      <w:r w:rsidR="00D716D4">
        <w:t>service</w:t>
      </w:r>
      <w:r w:rsidR="00264290">
        <w:t xml:space="preserve">s will impact disproportionately on </w:t>
      </w:r>
      <w:r w:rsidR="003C13C9">
        <w:t>people with disability, including Aboriginal and Torres Strait Islanders</w:t>
      </w:r>
      <w:r w:rsidR="00435E5C">
        <w:t>, because they are more frequent</w:t>
      </w:r>
      <w:r w:rsidR="007760E9">
        <w:t>ly engaged in those</w:t>
      </w:r>
      <w:r w:rsidR="00435E5C">
        <w:t xml:space="preserve"> </w:t>
      </w:r>
      <w:r w:rsidR="007760E9">
        <w:t>systems and services.</w:t>
      </w:r>
    </w:p>
    <w:p w14:paraId="4CAD9500" w14:textId="7219B147" w:rsidR="00F463BA" w:rsidRDefault="00466031" w:rsidP="00F463BA">
      <w:pPr>
        <w:pStyle w:val="Heading2OPA"/>
        <w:numPr>
          <w:ilvl w:val="1"/>
          <w:numId w:val="16"/>
        </w:numPr>
        <w:ind w:left="709" w:hanging="709"/>
      </w:pPr>
      <w:bookmarkStart w:id="23" w:name="_Toc46949140"/>
      <w:r>
        <w:t>Health care settings</w:t>
      </w:r>
      <w:bookmarkEnd w:id="23"/>
    </w:p>
    <w:p w14:paraId="2FA4356A" w14:textId="47231CE8" w:rsidR="00D30A7B" w:rsidRDefault="001354C4" w:rsidP="008676B2">
      <w:pPr>
        <w:spacing w:line="276" w:lineRule="auto"/>
        <w:ind w:left="709"/>
      </w:pPr>
      <w:r>
        <w:t xml:space="preserve">The shift to telehealth worked well for some people by providing an additional and safe option to access healthcare. One </w:t>
      </w:r>
      <w:r w:rsidR="00B2294C">
        <w:t>guardian shared that</w:t>
      </w:r>
      <w:r w:rsidR="008272CA">
        <w:t xml:space="preserve"> </w:t>
      </w:r>
      <w:r w:rsidR="00280CEA">
        <w:t xml:space="preserve">a telehealth appointment with a hospital clinic had worked really well for one of their clients, as they did not have to </w:t>
      </w:r>
      <w:r w:rsidR="00CB4A91">
        <w:t>sit for hours in the hospital waiting room</w:t>
      </w:r>
      <w:r w:rsidR="00FF4989">
        <w:t xml:space="preserve"> feeling a</w:t>
      </w:r>
      <w:r w:rsidR="004356D7">
        <w:t>nxious about the different space</w:t>
      </w:r>
      <w:r w:rsidR="00CB4A91">
        <w:t>.</w:t>
      </w:r>
      <w:r w:rsidR="006935BC">
        <w:t xml:space="preserve"> Apart from the time saving</w:t>
      </w:r>
      <w:r w:rsidR="008D7E86">
        <w:t>s offered by telehealth</w:t>
      </w:r>
      <w:r w:rsidR="000A60C5">
        <w:t xml:space="preserve">, </w:t>
      </w:r>
      <w:r w:rsidR="00233EE8">
        <w:t>people who like routine</w:t>
      </w:r>
      <w:r w:rsidR="00206027">
        <w:t>s</w:t>
      </w:r>
      <w:r w:rsidR="00C548F8">
        <w:t xml:space="preserve"> and familiar environments can also benefit.</w:t>
      </w:r>
    </w:p>
    <w:p w14:paraId="1DD7D678" w14:textId="0FE3B4E3" w:rsidR="00775580" w:rsidRDefault="007E64FC" w:rsidP="008676B2">
      <w:pPr>
        <w:spacing w:line="276" w:lineRule="auto"/>
        <w:ind w:left="709"/>
      </w:pPr>
      <w:r>
        <w:t xml:space="preserve">Decisions </w:t>
      </w:r>
      <w:r w:rsidR="00C218F0">
        <w:t>made by hospitals to prepare for a COVID-19 related surge</w:t>
      </w:r>
      <w:r w:rsidR="00AC3110">
        <w:t xml:space="preserve"> involved clearing beds wherever possible</w:t>
      </w:r>
      <w:r w:rsidR="001A6C90">
        <w:t xml:space="preserve">, postponing elective surgeries, and </w:t>
      </w:r>
      <w:r w:rsidR="00364B09">
        <w:t xml:space="preserve">generally </w:t>
      </w:r>
      <w:r w:rsidR="009E25D9">
        <w:t>trying to discourage new admissions.</w:t>
      </w:r>
      <w:r w:rsidR="002801EF">
        <w:t xml:space="preserve"> </w:t>
      </w:r>
      <w:r w:rsidR="00AB7724">
        <w:t xml:space="preserve">OPA’s </w:t>
      </w:r>
      <w:r w:rsidR="00EC440F">
        <w:t>H</w:t>
      </w:r>
      <w:r w:rsidR="00B0302C">
        <w:t>ospital</w:t>
      </w:r>
      <w:r w:rsidR="004E6D45">
        <w:t>s Team</w:t>
      </w:r>
      <w:r w:rsidR="00CC5489">
        <w:t xml:space="preserve"> works with hospitals to expedite discharge decisions where possible</w:t>
      </w:r>
      <w:r w:rsidR="00846ED3">
        <w:t>, as such the</w:t>
      </w:r>
      <w:r w:rsidR="004F1420">
        <w:t>y</w:t>
      </w:r>
      <w:r w:rsidR="00846ED3">
        <w:t xml:space="preserve"> ha</w:t>
      </w:r>
      <w:r w:rsidR="004F1420">
        <w:t>ve</w:t>
      </w:r>
      <w:r w:rsidR="00846ED3">
        <w:t xml:space="preserve"> been well aligned with </w:t>
      </w:r>
      <w:r w:rsidR="008F0EFB">
        <w:t xml:space="preserve">COVID-19 related hospital </w:t>
      </w:r>
      <w:r w:rsidR="004F1420">
        <w:t>mandates.</w:t>
      </w:r>
      <w:r w:rsidR="00EC76A8">
        <w:t xml:space="preserve"> While discharge </w:t>
      </w:r>
      <w:r w:rsidR="00C44077">
        <w:t xml:space="preserve">of patients </w:t>
      </w:r>
      <w:r w:rsidR="00EC76A8">
        <w:t>to aged care facilities has continued</w:t>
      </w:r>
      <w:r w:rsidR="00527167">
        <w:t xml:space="preserve">, with </w:t>
      </w:r>
      <w:r w:rsidR="008A488D">
        <w:t>m</w:t>
      </w:r>
      <w:r w:rsidR="003B559E">
        <w:t>any</w:t>
      </w:r>
      <w:r w:rsidR="008A488D">
        <w:t xml:space="preserve"> </w:t>
      </w:r>
      <w:r w:rsidR="00527167">
        <w:t>new residents required to quarantine</w:t>
      </w:r>
      <w:r w:rsidR="004613F6">
        <w:t xml:space="preserve"> in their rooms</w:t>
      </w:r>
      <w:r w:rsidR="008A488D">
        <w:t xml:space="preserve"> for 14 days on arrival, </w:t>
      </w:r>
      <w:r w:rsidR="00B77206">
        <w:t>discharge</w:t>
      </w:r>
      <w:r w:rsidR="009802CD">
        <w:t>s where the person requires new supports to their homes</w:t>
      </w:r>
      <w:r w:rsidR="004473F2">
        <w:t xml:space="preserve"> or are trialling living with family members</w:t>
      </w:r>
      <w:r w:rsidR="00D72271">
        <w:t xml:space="preserve"> are made more complicated</w:t>
      </w:r>
      <w:r w:rsidR="00C255FB">
        <w:t xml:space="preserve"> by the pandemic.</w:t>
      </w:r>
      <w:r w:rsidR="00773DAF">
        <w:t xml:space="preserve"> This is because of </w:t>
      </w:r>
      <w:r w:rsidR="00FE43F0">
        <w:t xml:space="preserve">the </w:t>
      </w:r>
      <w:r w:rsidR="00773DAF">
        <w:t>lack of access to functional assessments</w:t>
      </w:r>
      <w:r w:rsidR="004B57DA">
        <w:t xml:space="preserve"> and constraints on movements of people (for example, to go and visit </w:t>
      </w:r>
      <w:r w:rsidR="00D15DF2">
        <w:t>potential homes).</w:t>
      </w:r>
      <w:r w:rsidR="00086C1A">
        <w:t xml:space="preserve"> </w:t>
      </w:r>
      <w:r w:rsidR="00A73E33">
        <w:t>From OPA’s perspective, b</w:t>
      </w:r>
      <w:r w:rsidR="00086C1A">
        <w:t>oth bed-based and home-based Transition Care Programs a</w:t>
      </w:r>
      <w:r w:rsidR="00A73E33">
        <w:t>ppear to be</w:t>
      </w:r>
      <w:r w:rsidR="00086C1A">
        <w:t xml:space="preserve"> operating as u</w:t>
      </w:r>
      <w:r w:rsidR="00A73E33">
        <w:t>sual.</w:t>
      </w:r>
    </w:p>
    <w:p w14:paraId="4882DE59" w14:textId="77777777" w:rsidR="00FA6A22" w:rsidRDefault="00FA6A22" w:rsidP="008676B2">
      <w:pPr>
        <w:spacing w:line="276" w:lineRule="auto"/>
        <w:ind w:left="709"/>
      </w:pPr>
    </w:p>
    <w:p w14:paraId="5C714351" w14:textId="680CA781" w:rsidR="00BB3D81" w:rsidRDefault="00BD2EE5" w:rsidP="008676B2">
      <w:pPr>
        <w:spacing w:line="276" w:lineRule="auto"/>
        <w:ind w:left="709"/>
      </w:pPr>
      <w:r>
        <w:lastRenderedPageBreak/>
        <w:t xml:space="preserve">Encouragingly, </w:t>
      </w:r>
      <w:r w:rsidR="00BB3D81">
        <w:t xml:space="preserve">OPA staff report that NDIS hospital liaison </w:t>
      </w:r>
      <w:r w:rsidR="003678FF">
        <w:t>officers expedited access requests</w:t>
      </w:r>
      <w:r w:rsidR="00C039D9">
        <w:t xml:space="preserve"> for potential NDIS participants stuck in hospital.</w:t>
      </w:r>
    </w:p>
    <w:p w14:paraId="425A7EF1" w14:textId="069B12CF" w:rsidR="00C255FB" w:rsidRDefault="00003246" w:rsidP="008676B2">
      <w:pPr>
        <w:spacing w:line="276" w:lineRule="auto"/>
        <w:ind w:left="709"/>
      </w:pPr>
      <w:r>
        <w:t xml:space="preserve">OPA is aware of at least two clients who were negatively impacted by </w:t>
      </w:r>
      <w:r w:rsidR="008A37BE">
        <w:t xml:space="preserve">pandemic-related hospital policy of relocating clients away from </w:t>
      </w:r>
      <w:r w:rsidR="009710D7">
        <w:t>the two designated ‘COVID hospitals’ in Melbourne. For one person this meant being transferred to the other side of the city from their family</w:t>
      </w:r>
      <w:r w:rsidR="000A14B2">
        <w:t xml:space="preserve"> and remaining there for months. For another</w:t>
      </w:r>
      <w:r w:rsidR="003D3F1F">
        <w:t xml:space="preserve"> client</w:t>
      </w:r>
      <w:r w:rsidR="00F30758">
        <w:t xml:space="preserve">, the move from </w:t>
      </w:r>
      <w:r w:rsidR="004547CB">
        <w:t xml:space="preserve">a </w:t>
      </w:r>
      <w:r w:rsidR="00F30758">
        <w:t>T</w:t>
      </w:r>
      <w:r w:rsidR="004547CB">
        <w:t xml:space="preserve">ransition </w:t>
      </w:r>
      <w:r w:rsidR="00F30758">
        <w:t>C</w:t>
      </w:r>
      <w:r w:rsidR="004547CB">
        <w:t xml:space="preserve">are </w:t>
      </w:r>
      <w:r w:rsidR="00F30758">
        <w:t>P</w:t>
      </w:r>
      <w:r w:rsidR="004547CB">
        <w:t>rogram</w:t>
      </w:r>
      <w:r w:rsidR="00F30758">
        <w:t xml:space="preserve"> in a </w:t>
      </w:r>
      <w:r w:rsidR="003D3F1F">
        <w:t>well-</w:t>
      </w:r>
      <w:r w:rsidR="00F30758">
        <w:t>resourced major hospital to a</w:t>
      </w:r>
      <w:r w:rsidR="003D3F1F">
        <w:t>nother</w:t>
      </w:r>
      <w:r w:rsidR="00BD42EE">
        <w:t xml:space="preserve"> centre was perceived as providing a poorer quality service</w:t>
      </w:r>
      <w:r w:rsidR="00304BB4">
        <w:t xml:space="preserve"> and </w:t>
      </w:r>
      <w:r w:rsidR="00E357F9">
        <w:t xml:space="preserve">impacting </w:t>
      </w:r>
      <w:r w:rsidR="00304BB4">
        <w:t xml:space="preserve">on </w:t>
      </w:r>
      <w:r w:rsidR="00E357F9">
        <w:t>their recovery.</w:t>
      </w:r>
    </w:p>
    <w:p w14:paraId="0FF8631E" w14:textId="05D67A6B" w:rsidR="000F057A" w:rsidRDefault="00BF29CE" w:rsidP="000F057A">
      <w:pPr>
        <w:spacing w:line="276" w:lineRule="auto"/>
        <w:ind w:left="709"/>
      </w:pPr>
      <w:r>
        <w:t>Ambulance services have also been impacted by pandemic responses</w:t>
      </w:r>
      <w:r w:rsidR="00936033">
        <w:t xml:space="preserve">, as calls are more stringently triaged in an attempt to reduce </w:t>
      </w:r>
      <w:r w:rsidR="007B0492">
        <w:t xml:space="preserve">unnecessary </w:t>
      </w:r>
      <w:r w:rsidR="00936033">
        <w:t xml:space="preserve">hospital </w:t>
      </w:r>
      <w:r w:rsidR="007B0492">
        <w:t xml:space="preserve">use and </w:t>
      </w:r>
      <w:r w:rsidR="00936033">
        <w:t>admissions</w:t>
      </w:r>
      <w:r w:rsidR="00822228">
        <w:t xml:space="preserve">. </w:t>
      </w:r>
      <w:r w:rsidR="00F44A66">
        <w:t>At least two people known to OPA who are</w:t>
      </w:r>
      <w:r w:rsidR="00C77D15">
        <w:t xml:space="preserve"> repeat user</w:t>
      </w:r>
      <w:r w:rsidR="00F44A66">
        <w:t>s</w:t>
      </w:r>
      <w:r w:rsidR="00C77D15">
        <w:t xml:space="preserve"> of ambulance services</w:t>
      </w:r>
      <w:r w:rsidR="008F0086">
        <w:t xml:space="preserve"> have not been able to access appropriate care</w:t>
      </w:r>
      <w:r w:rsidR="007B0492">
        <w:t xml:space="preserve"> during the pandemic</w:t>
      </w:r>
      <w:r w:rsidR="008F0086">
        <w:t>.</w:t>
      </w:r>
      <w:r w:rsidR="00AB4660">
        <w:t xml:space="preserve"> Guardians report that people with mental illness who frequently use emergency departments and ambulance services</w:t>
      </w:r>
      <w:r w:rsidR="0033313B">
        <w:t xml:space="preserve"> are being </w:t>
      </w:r>
      <w:r w:rsidR="005331FD">
        <w:t>pushed through the system more rapidly than usual</w:t>
      </w:r>
      <w:r w:rsidR="000342FD">
        <w:t xml:space="preserve">. This </w:t>
      </w:r>
      <w:r w:rsidR="00FF41FD">
        <w:t xml:space="preserve">practice has had negative </w:t>
      </w:r>
      <w:r w:rsidR="003809E7">
        <w:t xml:space="preserve">mental (and even physical) </w:t>
      </w:r>
      <w:r w:rsidR="00FF41FD">
        <w:t>health outcomes for some of these individuals.</w:t>
      </w:r>
      <w:r w:rsidR="007B0492">
        <w:t xml:space="preserve"> One person </w:t>
      </w:r>
      <w:r w:rsidR="00771342">
        <w:t>with well-known self-harming behaviours</w:t>
      </w:r>
      <w:r w:rsidR="00AF4A34">
        <w:t xml:space="preserve"> called 000 and</w:t>
      </w:r>
      <w:r w:rsidR="007B0492">
        <w:t xml:space="preserve"> was </w:t>
      </w:r>
      <w:r w:rsidR="00771342">
        <w:t>assessed by ‘Nurse on call’</w:t>
      </w:r>
      <w:r w:rsidR="00AF4A34">
        <w:t xml:space="preserve"> and told that their injuries were not serious enough to warrant an ambulance</w:t>
      </w:r>
      <w:r w:rsidR="009E6135">
        <w:t xml:space="preserve">; they then inflicted further harm on </w:t>
      </w:r>
      <w:r w:rsidR="00A70CAC">
        <w:t>themselves</w:t>
      </w:r>
      <w:r w:rsidR="009E6135">
        <w:t>.</w:t>
      </w:r>
    </w:p>
    <w:p w14:paraId="2BB96034" w14:textId="44C0CEA9" w:rsidR="00922FDA" w:rsidRDefault="006661B9" w:rsidP="008676B2">
      <w:pPr>
        <w:spacing w:line="276" w:lineRule="auto"/>
        <w:ind w:left="709"/>
      </w:pPr>
      <w:r>
        <w:t>OPA guardians highlighted their concerns for their clients</w:t>
      </w:r>
      <w:r w:rsidR="00F00A6A">
        <w:t xml:space="preserve">, noting the impact of changes to routine and withdrawal of regular face-to-face </w:t>
      </w:r>
      <w:r w:rsidR="00236A34">
        <w:t>contacts as particularly stressful and isolating for many</w:t>
      </w:r>
      <w:r w:rsidR="00B025AE">
        <w:t xml:space="preserve"> people with disability. Like everyone else</w:t>
      </w:r>
      <w:r w:rsidR="00AB4FED">
        <w:t>, people with disability are experiencing the</w:t>
      </w:r>
      <w:r w:rsidR="00B025AE">
        <w:t xml:space="preserve"> emotional toll</w:t>
      </w:r>
      <w:r w:rsidR="00AB4FED">
        <w:t xml:space="preserve"> of loneliness</w:t>
      </w:r>
      <w:r w:rsidR="00DB382C">
        <w:t>, however some have less capacity to regulate their moods and responses.</w:t>
      </w:r>
      <w:r w:rsidR="000E0190">
        <w:t xml:space="preserve"> This could well increase their need for mental health or emergency services.</w:t>
      </w:r>
    </w:p>
    <w:p w14:paraId="6608566F" w14:textId="334F2DD9" w:rsidR="00D30A7B" w:rsidRDefault="001417A3" w:rsidP="008676B2">
      <w:pPr>
        <w:spacing w:line="276" w:lineRule="auto"/>
        <w:ind w:left="709"/>
      </w:pPr>
      <w:r w:rsidRPr="00627430">
        <w:t xml:space="preserve">While </w:t>
      </w:r>
      <w:r w:rsidR="0014712D" w:rsidRPr="00627430">
        <w:t xml:space="preserve">on the face of it </w:t>
      </w:r>
      <w:r w:rsidRPr="00627430">
        <w:t xml:space="preserve">these policies </w:t>
      </w:r>
      <w:r w:rsidR="0014712D" w:rsidRPr="00627430">
        <w:t xml:space="preserve">may </w:t>
      </w:r>
      <w:r w:rsidRPr="00627430">
        <w:t xml:space="preserve">make sense </w:t>
      </w:r>
      <w:r w:rsidR="0014712D" w:rsidRPr="00627430">
        <w:t>during a pandemic</w:t>
      </w:r>
      <w:r w:rsidR="00331B7F" w:rsidRPr="00627430">
        <w:t xml:space="preserve">, </w:t>
      </w:r>
      <w:r w:rsidR="00B73BA9" w:rsidRPr="00627430">
        <w:t xml:space="preserve">a similar point can be made in this realm as we made above </w:t>
      </w:r>
      <w:r w:rsidR="00174FBB" w:rsidRPr="00627430">
        <w:t>about the CHO directions.</w:t>
      </w:r>
      <w:r w:rsidR="00BB3ABC" w:rsidRPr="00627430">
        <w:t xml:space="preserve"> </w:t>
      </w:r>
      <w:r w:rsidR="00174FBB" w:rsidRPr="00627430">
        <w:t>A</w:t>
      </w:r>
      <w:r w:rsidR="00920318" w:rsidRPr="00627430">
        <w:t xml:space="preserve">pplication of these </w:t>
      </w:r>
      <w:r w:rsidR="00EB40A8" w:rsidRPr="00627430">
        <w:t xml:space="preserve">health sector </w:t>
      </w:r>
      <w:r w:rsidR="00920318" w:rsidRPr="00627430">
        <w:t xml:space="preserve">policies to people </w:t>
      </w:r>
      <w:r w:rsidR="001A2BF4" w:rsidRPr="00627430">
        <w:t xml:space="preserve">with disability </w:t>
      </w:r>
      <w:r w:rsidR="00920318" w:rsidRPr="00627430">
        <w:t>w</w:t>
      </w:r>
      <w:r w:rsidR="001A2BF4" w:rsidRPr="00627430">
        <w:t>ho have</w:t>
      </w:r>
      <w:r w:rsidR="00920318" w:rsidRPr="00627430">
        <w:t xml:space="preserve"> </w:t>
      </w:r>
      <w:r w:rsidR="00A25A5B" w:rsidRPr="00627430">
        <w:t>pre-existing health issues</w:t>
      </w:r>
      <w:r w:rsidR="00EB40A8" w:rsidRPr="00627430">
        <w:t>,</w:t>
      </w:r>
      <w:r w:rsidR="00A25A5B" w:rsidRPr="00627430">
        <w:t xml:space="preserve"> insufficient community supports</w:t>
      </w:r>
      <w:r w:rsidR="00EB40A8" w:rsidRPr="00627430">
        <w:t xml:space="preserve"> or extreme social isolation</w:t>
      </w:r>
      <w:r w:rsidR="0025444E" w:rsidRPr="00627430">
        <w:t xml:space="preserve"> will </w:t>
      </w:r>
      <w:r w:rsidR="009A7845" w:rsidRPr="00627430">
        <w:t xml:space="preserve">have a </w:t>
      </w:r>
      <w:r w:rsidR="0025444E" w:rsidRPr="00627430">
        <w:t xml:space="preserve">disproportionate </w:t>
      </w:r>
      <w:r w:rsidR="009A7845" w:rsidRPr="00627430">
        <w:t>impact</w:t>
      </w:r>
      <w:r w:rsidR="00CF6BAD" w:rsidRPr="00627430">
        <w:t xml:space="preserve"> and potentially lifelong consequences</w:t>
      </w:r>
      <w:r w:rsidR="009A7845" w:rsidRPr="00627430">
        <w:t>.</w:t>
      </w:r>
      <w:r w:rsidR="002C6ED9" w:rsidRPr="00627430">
        <w:t xml:space="preserve"> </w:t>
      </w:r>
      <w:r w:rsidR="00143995" w:rsidRPr="00627430">
        <w:t xml:space="preserve">OPA </w:t>
      </w:r>
      <w:r w:rsidR="00A47CF5" w:rsidRPr="00627430">
        <w:t xml:space="preserve">suggests that </w:t>
      </w:r>
      <w:r w:rsidR="000541FF" w:rsidRPr="00627430">
        <w:t xml:space="preserve">there may be value in reconsidering </w:t>
      </w:r>
      <w:r w:rsidR="00143995" w:rsidRPr="00627430">
        <w:t>these policies</w:t>
      </w:r>
      <w:r w:rsidR="000541FF" w:rsidRPr="00627430">
        <w:t xml:space="preserve">, particularly when the health system is not experiencing </w:t>
      </w:r>
      <w:r w:rsidR="00AF152B" w:rsidRPr="00627430">
        <w:t>unmanageable levels of demand for services.</w:t>
      </w:r>
      <w:r w:rsidR="00FB40CD" w:rsidRPr="00627430">
        <w:t xml:space="preserve"> The ethics and decision framework that should apply in such </w:t>
      </w:r>
      <w:r w:rsidR="007868C5" w:rsidRPr="00627430">
        <w:t>situations</w:t>
      </w:r>
      <w:r w:rsidR="00FB40CD" w:rsidRPr="00627430">
        <w:t xml:space="preserve"> are discussed in section </w:t>
      </w:r>
      <w:r w:rsidR="00627430" w:rsidRPr="00627430">
        <w:t>7</w:t>
      </w:r>
      <w:r w:rsidR="00FB40CD">
        <w:t xml:space="preserve"> below.</w:t>
      </w:r>
    </w:p>
    <w:p w14:paraId="53E5AB6F" w14:textId="217C48F7" w:rsidR="0008557C" w:rsidRPr="00194A3C" w:rsidRDefault="0008557C" w:rsidP="0008557C">
      <w:pPr>
        <w:spacing w:line="276" w:lineRule="auto"/>
        <w:ind w:left="709"/>
        <w:rPr>
          <w:b/>
          <w:bCs/>
        </w:rPr>
      </w:pPr>
      <w:r w:rsidRPr="00194A3C">
        <w:rPr>
          <w:b/>
          <w:bCs/>
        </w:rPr>
        <w:t>Recommendation 1</w:t>
      </w:r>
      <w:r w:rsidR="008D2C23">
        <w:rPr>
          <w:b/>
          <w:bCs/>
        </w:rPr>
        <w:t>1</w:t>
      </w:r>
    </w:p>
    <w:p w14:paraId="2CEE9E03" w14:textId="77777777" w:rsidR="0008557C" w:rsidRPr="00194A3C" w:rsidRDefault="0008557C" w:rsidP="0008557C">
      <w:pPr>
        <w:spacing w:line="276" w:lineRule="auto"/>
        <w:ind w:left="709"/>
        <w:rPr>
          <w:b/>
          <w:bCs/>
        </w:rPr>
      </w:pPr>
      <w:r w:rsidRPr="00194A3C">
        <w:rPr>
          <w:b/>
          <w:bCs/>
        </w:rPr>
        <w:t>During a public health emergency, hospitals and health care providers should ensure that any policies aimed at reducing service demand consider and mitigate their potential impacts on people with disability.</w:t>
      </w:r>
    </w:p>
    <w:p w14:paraId="7F4A6B17" w14:textId="35570CB9" w:rsidR="00F40A69" w:rsidRDefault="004A70A0" w:rsidP="00740FE4">
      <w:pPr>
        <w:spacing w:line="276" w:lineRule="auto"/>
        <w:ind w:left="709"/>
        <w:rPr>
          <w:rFonts w:ascii="Calibri" w:eastAsia="Times New Roman" w:hAnsi="Calibri" w:cs="Calibri"/>
        </w:rPr>
      </w:pPr>
      <w:r>
        <w:t>In line w</w:t>
      </w:r>
      <w:r w:rsidR="00B374B4">
        <w:t xml:space="preserve">ith the ‘front door’ problems </w:t>
      </w:r>
      <w:r>
        <w:t xml:space="preserve">discussed above, </w:t>
      </w:r>
      <w:r w:rsidR="00BD2EE5">
        <w:t xml:space="preserve">OPA understands </w:t>
      </w:r>
      <w:r>
        <w:t xml:space="preserve">that hospitals and mental health units have also grappled with </w:t>
      </w:r>
      <w:r w:rsidR="009E34A8">
        <w:t>the question of how to manage patients who are unable to comply with recommended social distancing practices</w:t>
      </w:r>
      <w:r w:rsidR="006C4A26">
        <w:t xml:space="preserve"> or limit their exposure to the virus in the community</w:t>
      </w:r>
      <w:r w:rsidR="009E34A8">
        <w:t>.</w:t>
      </w:r>
      <w:r w:rsidR="00DF6512">
        <w:t xml:space="preserve"> </w:t>
      </w:r>
      <w:r w:rsidR="000742F8">
        <w:t xml:space="preserve">In one case the provider sought to discharge the person, although the guardian </w:t>
      </w:r>
      <w:r w:rsidR="00441FC5">
        <w:t xml:space="preserve">refused to consent on the grounds that it would be discharge to homelessness. In another case, a hospital considered </w:t>
      </w:r>
      <w:r w:rsidR="005C7A22">
        <w:t>isolating and effectively detaining a mobile patient in a private room to try and prevent her becoming infected in the community.</w:t>
      </w:r>
      <w:r w:rsidR="00E654A9">
        <w:t xml:space="preserve"> Would a person without a guardian </w:t>
      </w:r>
      <w:r w:rsidR="00F24017">
        <w:t xml:space="preserve">or skilled advocate </w:t>
      </w:r>
      <w:r w:rsidR="001C5822">
        <w:t xml:space="preserve">be more likely to be subject to such </w:t>
      </w:r>
      <w:r w:rsidR="001C5822">
        <w:lastRenderedPageBreak/>
        <w:t>unlawful restrictive interventions</w:t>
      </w:r>
      <w:r w:rsidR="0051093A">
        <w:t>? A similar situation played out with a res</w:t>
      </w:r>
      <w:r w:rsidR="00563F13">
        <w:t xml:space="preserve">idential service seeking the approval of the guardian to </w:t>
      </w:r>
      <w:r w:rsidR="00561025">
        <w:t>seek a detention order from the chief practitioner as a preventative measure</w:t>
      </w:r>
      <w:r w:rsidR="00AF0557">
        <w:t>, again for a mobile person who was unable to comply with the</w:t>
      </w:r>
      <w:r w:rsidR="008E6DF7">
        <w:t xml:space="preserve"> distancing and hygiene advice.</w:t>
      </w:r>
    </w:p>
    <w:p w14:paraId="36D1F5E7" w14:textId="6DACAC80" w:rsidR="00466031" w:rsidRDefault="000F057A" w:rsidP="00227A0C">
      <w:pPr>
        <w:pStyle w:val="Heading2OPA"/>
        <w:numPr>
          <w:ilvl w:val="1"/>
          <w:numId w:val="16"/>
        </w:numPr>
        <w:spacing w:line="276" w:lineRule="auto"/>
        <w:ind w:left="709" w:hanging="709"/>
      </w:pPr>
      <w:bookmarkStart w:id="24" w:name="_Toc46949141"/>
      <w:r>
        <w:t>Justice settings</w:t>
      </w:r>
      <w:bookmarkEnd w:id="24"/>
    </w:p>
    <w:p w14:paraId="28983CC6" w14:textId="678FD8F1" w:rsidR="00AD0CDB" w:rsidRDefault="00BD2EE5" w:rsidP="000F057A">
      <w:pPr>
        <w:spacing w:line="276" w:lineRule="auto"/>
        <w:ind w:left="709"/>
      </w:pPr>
      <w:r>
        <w:t>The pandemic has and continues to have a substantial impact on courts</w:t>
      </w:r>
      <w:r w:rsidR="00AD0CDB">
        <w:t xml:space="preserve"> and tribunals</w:t>
      </w:r>
      <w:r>
        <w:t xml:space="preserve"> all around Australia.</w:t>
      </w:r>
      <w:r w:rsidR="00AD0CDB">
        <w:t xml:space="preserve"> </w:t>
      </w:r>
    </w:p>
    <w:p w14:paraId="72D20813" w14:textId="15B41CBF" w:rsidR="00AD0CDB" w:rsidRDefault="00AD0CDB" w:rsidP="00AD0CDB">
      <w:pPr>
        <w:spacing w:line="276" w:lineRule="auto"/>
        <w:ind w:left="709"/>
      </w:pPr>
      <w:r>
        <w:t xml:space="preserve">Given the legislative role of the Public Advocate, OPA staff have a lot of contact with the Victorian Civil and Administrative Tribunal’s (VCAT) Human Rights List in relation to guardianship, tenancy rights and civil detention matters. Like many other settings, including hospital and disability sector care team meetings, VCAT has grappled with how to successfully conduct phone and, more recently, some Zoom hearings. Expected communication difficulties </w:t>
      </w:r>
      <w:r w:rsidR="00844563">
        <w:t>arise</w:t>
      </w:r>
      <w:r>
        <w:t xml:space="preserve"> in some contested hearings with people speaking over each other and the member not knowing who is saying what. This ha</w:t>
      </w:r>
      <w:r w:rsidR="00085742">
        <w:t>s</w:t>
      </w:r>
      <w:r>
        <w:t xml:space="preserve"> made it harder in some instances to get the necessary information during hearings. </w:t>
      </w:r>
      <w:r w:rsidR="00085742">
        <w:t>OPA considers that t</w:t>
      </w:r>
      <w:r>
        <w:t>his has had flow on effects on the volume of investigation matters being referred to OPA, which will be discussed below.</w:t>
      </w:r>
    </w:p>
    <w:p w14:paraId="7E8CBD5B" w14:textId="77777777" w:rsidR="00AD0CDB" w:rsidRDefault="00AD0CDB" w:rsidP="00AD0CDB">
      <w:pPr>
        <w:spacing w:line="276" w:lineRule="auto"/>
        <w:ind w:left="709"/>
      </w:pPr>
      <w:r>
        <w:t>Like other sectors, a rapid upskilling has occurred in relation to the use of technology and this has made hearings using Zoom possible where participants require it.</w:t>
      </w:r>
    </w:p>
    <w:p w14:paraId="456BAF7E" w14:textId="7DE352A0" w:rsidR="0068210E" w:rsidRDefault="00AD0CDB" w:rsidP="000F057A">
      <w:pPr>
        <w:spacing w:line="276" w:lineRule="auto"/>
        <w:ind w:left="709"/>
      </w:pPr>
      <w:r>
        <w:t xml:space="preserve">The impact of courts moving online has contributed to </w:t>
      </w:r>
      <w:r w:rsidR="00C10AE0">
        <w:t xml:space="preserve">longer </w:t>
      </w:r>
      <w:r>
        <w:t xml:space="preserve">waits </w:t>
      </w:r>
      <w:r w:rsidR="00C10AE0">
        <w:t xml:space="preserve">for the resolution of </w:t>
      </w:r>
      <w:r>
        <w:t xml:space="preserve">some </w:t>
      </w:r>
      <w:r w:rsidR="00C10AE0">
        <w:t>justice issues</w:t>
      </w:r>
      <w:r w:rsidR="00164CA0">
        <w:t xml:space="preserve"> during </w:t>
      </w:r>
      <w:r w:rsidR="00BD2EE5">
        <w:t>this time.</w:t>
      </w:r>
      <w:r w:rsidR="00D27DA8">
        <w:t xml:space="preserve"> </w:t>
      </w:r>
    </w:p>
    <w:p w14:paraId="231E7369" w14:textId="796D472B" w:rsidR="00E962BB" w:rsidRDefault="00D56B42" w:rsidP="00050926">
      <w:pPr>
        <w:spacing w:line="276" w:lineRule="auto"/>
        <w:ind w:left="1440"/>
      </w:pPr>
      <w:r>
        <w:t>One guardian</w:t>
      </w:r>
      <w:r w:rsidR="00DC00C9">
        <w:t xml:space="preserve"> </w:t>
      </w:r>
      <w:r w:rsidR="000775D4">
        <w:t>a</w:t>
      </w:r>
      <w:r w:rsidR="00DC00C9">
        <w:t xml:space="preserve">waiting </w:t>
      </w:r>
      <w:r w:rsidR="000775D4">
        <w:t xml:space="preserve">a hearing </w:t>
      </w:r>
      <w:r w:rsidR="00292876">
        <w:t xml:space="preserve">regarding an interim intervention order </w:t>
      </w:r>
      <w:r w:rsidR="000775D4">
        <w:t>at</w:t>
      </w:r>
      <w:r w:rsidR="00292876">
        <w:t xml:space="preserve"> the</w:t>
      </w:r>
      <w:r w:rsidR="00DC00C9">
        <w:t xml:space="preserve"> Magistrate’s Court </w:t>
      </w:r>
      <w:r w:rsidR="00D27DA8">
        <w:t xml:space="preserve">reported </w:t>
      </w:r>
      <w:r w:rsidR="00AD0CDB">
        <w:t>difficulties</w:t>
      </w:r>
      <w:r w:rsidR="00BD2EE5">
        <w:t xml:space="preserve"> </w:t>
      </w:r>
      <w:r w:rsidR="00E6610E">
        <w:t>making</w:t>
      </w:r>
      <w:r w:rsidR="00363EE1">
        <w:t xml:space="preserve"> contact with the court, due to </w:t>
      </w:r>
      <w:r w:rsidR="001D6ACF">
        <w:t>an incorrect phone number</w:t>
      </w:r>
      <w:r w:rsidR="00707720">
        <w:t xml:space="preserve"> and changes to normal communication channels.</w:t>
      </w:r>
      <w:r w:rsidR="001D6ACF">
        <w:t xml:space="preserve"> </w:t>
      </w:r>
      <w:r w:rsidR="007E102B">
        <w:t xml:space="preserve">The guardian </w:t>
      </w:r>
      <w:r w:rsidR="00806628">
        <w:t xml:space="preserve">was told that the scheduled hearing had been adjourned, then on the day </w:t>
      </w:r>
      <w:r w:rsidR="00324739">
        <w:t xml:space="preserve">of </w:t>
      </w:r>
      <w:r w:rsidR="00256EC5">
        <w:t>the adjourned hearing was told it was going ahead.</w:t>
      </w:r>
      <w:r w:rsidR="008C0B2C">
        <w:t xml:space="preserve"> </w:t>
      </w:r>
      <w:r w:rsidR="00844563">
        <w:t>T</w:t>
      </w:r>
      <w:r w:rsidR="008C0B2C">
        <w:t xml:space="preserve">he client was unprepared for the hearing and did not have supports </w:t>
      </w:r>
      <w:r w:rsidR="00093155">
        <w:t xml:space="preserve">in place so that hearing </w:t>
      </w:r>
      <w:r w:rsidR="003C47EA">
        <w:t>had to be</w:t>
      </w:r>
      <w:r w:rsidR="00093155">
        <w:t xml:space="preserve"> adjourned for </w:t>
      </w:r>
      <w:r w:rsidR="003C47EA">
        <w:t>a</w:t>
      </w:r>
      <w:r w:rsidR="00093155">
        <w:t xml:space="preserve"> second time.</w:t>
      </w:r>
      <w:r w:rsidR="00170665">
        <w:t xml:space="preserve"> </w:t>
      </w:r>
      <w:r w:rsidR="00B304C6">
        <w:t>Altogether</w:t>
      </w:r>
      <w:r w:rsidR="005354A6">
        <w:t xml:space="preserve">, court delays </w:t>
      </w:r>
      <w:r w:rsidR="00D23C00">
        <w:t>and the client’s distress about not being able to see</w:t>
      </w:r>
      <w:r w:rsidR="00B304C6">
        <w:t xml:space="preserve"> their family member </w:t>
      </w:r>
      <w:r w:rsidR="00585462">
        <w:t>during this time saw</w:t>
      </w:r>
      <w:r w:rsidR="00836FF5">
        <w:t xml:space="preserve"> the</w:t>
      </w:r>
      <w:r w:rsidR="000E63EF">
        <w:t xml:space="preserve"> client’s</w:t>
      </w:r>
      <w:r w:rsidR="00836FF5">
        <w:t xml:space="preserve"> </w:t>
      </w:r>
      <w:r w:rsidR="000E63EF">
        <w:t>mental health and behaviours w</w:t>
      </w:r>
      <w:r w:rsidR="007E6347">
        <w:t>orsen</w:t>
      </w:r>
      <w:r w:rsidR="000E63EF">
        <w:t>.</w:t>
      </w:r>
    </w:p>
    <w:p w14:paraId="17F9070E" w14:textId="52093316" w:rsidR="00452994" w:rsidRDefault="00C600B8" w:rsidP="00452994">
      <w:pPr>
        <w:spacing w:line="276" w:lineRule="auto"/>
        <w:ind w:left="709"/>
      </w:pPr>
      <w:r>
        <w:t xml:space="preserve">OPA is aware that, in another of the positive homelessness responses </w:t>
      </w:r>
      <w:r w:rsidR="00B30615">
        <w:t xml:space="preserve">provoked by the pandemic, Corrections </w:t>
      </w:r>
      <w:r w:rsidR="00486757">
        <w:t xml:space="preserve">have refitted the </w:t>
      </w:r>
      <w:r w:rsidR="00AD0CDB">
        <w:t>Maribyrnong</w:t>
      </w:r>
      <w:r w:rsidR="00486757">
        <w:t xml:space="preserve"> Detention Centre</w:t>
      </w:r>
      <w:r w:rsidR="00D22E6D">
        <w:t xml:space="preserve"> to provide short-term post-release accommodation for people coming out of </w:t>
      </w:r>
      <w:r w:rsidR="00BD2393">
        <w:t>jail who would otherwise be at risk of homelessness. In the past, they would have simply been released to the street</w:t>
      </w:r>
      <w:r w:rsidR="00DA5676">
        <w:t xml:space="preserve">. Again, </w:t>
      </w:r>
      <w:r w:rsidR="00355DA1">
        <w:t>providing appropriate accommodation to our most vulnerable people should be a priority at all times</w:t>
      </w:r>
      <w:r w:rsidR="00DC0392">
        <w:t>, and not limited to a pandemic.</w:t>
      </w:r>
      <w:r w:rsidR="00452994">
        <w:t xml:space="preserve"> With better general infrastructure in place the arrival of a pandemic would result in less disruption to people’s lives</w:t>
      </w:r>
      <w:r w:rsidR="006B4C2D">
        <w:t>.</w:t>
      </w:r>
    </w:p>
    <w:p w14:paraId="4F00FCAC" w14:textId="6C9FD62E" w:rsidR="00C43008" w:rsidRDefault="00C43008" w:rsidP="00C43008">
      <w:pPr>
        <w:pStyle w:val="Heading2OPA"/>
        <w:numPr>
          <w:ilvl w:val="1"/>
          <w:numId w:val="16"/>
        </w:numPr>
        <w:spacing w:line="276" w:lineRule="auto"/>
        <w:ind w:left="709" w:hanging="709"/>
      </w:pPr>
      <w:bookmarkStart w:id="25" w:name="_Toc46949142"/>
      <w:r>
        <w:t>Child protection</w:t>
      </w:r>
      <w:bookmarkEnd w:id="25"/>
    </w:p>
    <w:p w14:paraId="580C8302" w14:textId="3423EFB7" w:rsidR="004D7354" w:rsidRDefault="004D7354" w:rsidP="00B31676">
      <w:pPr>
        <w:spacing w:line="276" w:lineRule="auto"/>
        <w:ind w:left="709"/>
      </w:pPr>
      <w:r>
        <w:t xml:space="preserve">OPA </w:t>
      </w:r>
      <w:r w:rsidR="00DF7C2A">
        <w:t xml:space="preserve">has maintained a special interest in the circumstances of parents with disability who are separated from their children </w:t>
      </w:r>
      <w:r w:rsidR="005455AE">
        <w:t xml:space="preserve">under Child Protection. </w:t>
      </w:r>
      <w:r w:rsidR="00A6655D">
        <w:t>During the first lockdown period</w:t>
      </w:r>
      <w:r w:rsidR="009F6938">
        <w:t>, u</w:t>
      </w:r>
      <w:r w:rsidR="00A6655D" w:rsidRPr="00A6655D">
        <w:t xml:space="preserve">nder COVID-19 restrictions, court-ordered contact between children and their families was </w:t>
      </w:r>
      <w:r w:rsidR="00A6655D" w:rsidRPr="00A6655D">
        <w:lastRenderedPageBreak/>
        <w:t xml:space="preserve">suspended. </w:t>
      </w:r>
      <w:r w:rsidR="009F6938">
        <w:t xml:space="preserve">It is likely that this has also occurred </w:t>
      </w:r>
      <w:r w:rsidR="00B11107">
        <w:t>during the second lockdown.</w:t>
      </w:r>
      <w:r w:rsidR="00D11AAD">
        <w:t xml:space="preserve"> </w:t>
      </w:r>
      <w:r w:rsidR="003F2B62">
        <w:t xml:space="preserve">OPA is </w:t>
      </w:r>
      <w:r w:rsidR="003726C3">
        <w:t xml:space="preserve">very </w:t>
      </w:r>
      <w:r w:rsidR="003F2B62">
        <w:t>concerned by anecdotal evidence that</w:t>
      </w:r>
      <w:r w:rsidR="00D11AAD">
        <w:t xml:space="preserve"> suggests</w:t>
      </w:r>
      <w:r w:rsidR="003F2B62">
        <w:t xml:space="preserve"> </w:t>
      </w:r>
      <w:r w:rsidR="00D11AAD">
        <w:t>even where lockdown conditions are eased that</w:t>
      </w:r>
      <w:r w:rsidR="003F43C2">
        <w:t xml:space="preserve"> </w:t>
      </w:r>
      <w:r w:rsidR="005350A4">
        <w:t xml:space="preserve">contact between parents and children </w:t>
      </w:r>
      <w:r w:rsidR="009D53E2">
        <w:t>has been extremely limited or even completely prevented</w:t>
      </w:r>
      <w:r w:rsidR="003726C3">
        <w:t>.</w:t>
      </w:r>
      <w:r w:rsidR="003F43C2">
        <w:t xml:space="preserve"> </w:t>
      </w:r>
    </w:p>
    <w:p w14:paraId="76AD8E72" w14:textId="6C829B0B" w:rsidR="00244BB1" w:rsidRDefault="00FA71FB" w:rsidP="001757B7">
      <w:pPr>
        <w:spacing w:line="276" w:lineRule="auto"/>
        <w:ind w:left="709"/>
      </w:pPr>
      <w:r>
        <w:t xml:space="preserve">OPA notes that </w:t>
      </w:r>
      <w:r w:rsidR="006D2D18">
        <w:t xml:space="preserve">COVID-19 </w:t>
      </w:r>
      <w:r w:rsidR="002E38F4">
        <w:t xml:space="preserve">will </w:t>
      </w:r>
      <w:r w:rsidR="005E65A1">
        <w:t xml:space="preserve">also </w:t>
      </w:r>
      <w:r w:rsidR="002E38F4">
        <w:t>have substantially impacted on parents</w:t>
      </w:r>
      <w:r w:rsidR="00FA144D">
        <w:t>’</w:t>
      </w:r>
      <w:r w:rsidR="002E38F4">
        <w:t xml:space="preserve"> abilities to address the</w:t>
      </w:r>
      <w:r w:rsidR="00CE66EB">
        <w:t xml:space="preserve"> issues of concern </w:t>
      </w:r>
      <w:r w:rsidR="00A24EF0">
        <w:t xml:space="preserve">(due to decreased access to support services) </w:t>
      </w:r>
      <w:r w:rsidR="00CE66EB">
        <w:t>and safely resume their parental role</w:t>
      </w:r>
      <w:r w:rsidR="006D4745">
        <w:t xml:space="preserve"> within the legislated time limits</w:t>
      </w:r>
      <w:r w:rsidR="00221BD8">
        <w:t xml:space="preserve">. </w:t>
      </w:r>
      <w:r w:rsidR="007F7DE1">
        <w:t>OPA calls on</w:t>
      </w:r>
      <w:r w:rsidR="001757B7">
        <w:t xml:space="preserve"> </w:t>
      </w:r>
      <w:r w:rsidR="00101A7C" w:rsidRPr="004D7354">
        <w:t xml:space="preserve">DHHS to work co-operatively with the Court, families and professional agencies to find ways of building family and community capacity so that this pandemic does not cause a surge of families permanently torn apart. </w:t>
      </w:r>
    </w:p>
    <w:p w14:paraId="75E55C68" w14:textId="18EC1C16" w:rsidR="00101A7C" w:rsidRDefault="00244BB1" w:rsidP="00244BB1">
      <w:pPr>
        <w:spacing w:line="276" w:lineRule="auto"/>
        <w:ind w:left="709"/>
      </w:pPr>
      <w:r>
        <w:t xml:space="preserve">Further, </w:t>
      </w:r>
      <w:r w:rsidR="00D20669" w:rsidRPr="00244BB1">
        <w:t>OPA</w:t>
      </w:r>
      <w:r w:rsidR="00101A7C" w:rsidRPr="004D7354">
        <w:t xml:space="preserve"> proposes that all timelines for the reunification of children with their families be suspended for as long as it takes to give families a genuine chance to be reunited.</w:t>
      </w:r>
    </w:p>
    <w:p w14:paraId="21E5BBC3" w14:textId="26042CA3" w:rsidR="0008557C" w:rsidRPr="00194A3C" w:rsidRDefault="0008557C" w:rsidP="0008557C">
      <w:pPr>
        <w:spacing w:line="276" w:lineRule="auto"/>
        <w:ind w:left="709"/>
        <w:rPr>
          <w:b/>
          <w:bCs/>
        </w:rPr>
      </w:pPr>
      <w:r w:rsidRPr="00194A3C">
        <w:rPr>
          <w:b/>
          <w:bCs/>
        </w:rPr>
        <w:t>Recommendation 1</w:t>
      </w:r>
      <w:r w:rsidR="008D2C23">
        <w:rPr>
          <w:b/>
          <w:bCs/>
        </w:rPr>
        <w:t>2</w:t>
      </w:r>
    </w:p>
    <w:p w14:paraId="0560EB94" w14:textId="77777777" w:rsidR="0008557C" w:rsidRPr="00194A3C" w:rsidRDefault="0008557C" w:rsidP="0008557C">
      <w:pPr>
        <w:spacing w:line="276" w:lineRule="auto"/>
        <w:ind w:left="709"/>
        <w:rPr>
          <w:b/>
          <w:bCs/>
        </w:rPr>
      </w:pPr>
      <w:r w:rsidRPr="00194A3C">
        <w:rPr>
          <w:b/>
          <w:bCs/>
        </w:rPr>
        <w:t>DHHS, and other state and territory agencies as required, should revisit the services that are interrupted by the pandemic to see if they can be provided in other ways to promote family and community capacity building and the reunification of families with disability.</w:t>
      </w:r>
    </w:p>
    <w:p w14:paraId="723A4808" w14:textId="3E73C976" w:rsidR="0008557C" w:rsidRPr="00194A3C" w:rsidRDefault="0008557C" w:rsidP="0008557C">
      <w:pPr>
        <w:spacing w:line="276" w:lineRule="auto"/>
        <w:ind w:left="709"/>
        <w:rPr>
          <w:b/>
          <w:bCs/>
        </w:rPr>
      </w:pPr>
      <w:r w:rsidRPr="00194A3C">
        <w:rPr>
          <w:b/>
          <w:bCs/>
        </w:rPr>
        <w:t>Recommendation 1</w:t>
      </w:r>
      <w:r w:rsidR="008D2C23">
        <w:rPr>
          <w:b/>
          <w:bCs/>
        </w:rPr>
        <w:t>3</w:t>
      </w:r>
    </w:p>
    <w:p w14:paraId="40EA4EBF" w14:textId="77777777" w:rsidR="0008557C" w:rsidRPr="00194A3C" w:rsidRDefault="0008557C" w:rsidP="0008557C">
      <w:pPr>
        <w:spacing w:line="276" w:lineRule="auto"/>
        <w:ind w:left="709"/>
        <w:rPr>
          <w:b/>
          <w:bCs/>
        </w:rPr>
      </w:pPr>
      <w:r w:rsidRPr="00194A3C">
        <w:rPr>
          <w:b/>
          <w:bCs/>
        </w:rPr>
        <w:t>The Victorian Government should pass emergency provisions to permit the Court to extend reunification timelines legislated by the</w:t>
      </w:r>
      <w:r w:rsidRPr="00E8073A">
        <w:rPr>
          <w:b/>
          <w:bCs/>
          <w:i/>
        </w:rPr>
        <w:t xml:space="preserve"> Children, Youth and Families Act 2005</w:t>
      </w:r>
      <w:r w:rsidRPr="00194A3C">
        <w:rPr>
          <w:b/>
          <w:bCs/>
        </w:rPr>
        <w:t>. Other jurisdictions should act similarly where relevant.</w:t>
      </w:r>
    </w:p>
    <w:p w14:paraId="409CDB20" w14:textId="77777777" w:rsidR="003045F2" w:rsidRPr="00B13112" w:rsidRDefault="003045F2" w:rsidP="003045F2">
      <w:pPr>
        <w:pStyle w:val="Heading1OPA"/>
        <w:numPr>
          <w:ilvl w:val="0"/>
          <w:numId w:val="16"/>
        </w:numPr>
        <w:ind w:left="709" w:hanging="709"/>
        <w:rPr>
          <w:rFonts w:eastAsia="Times New Roman"/>
          <w:szCs w:val="32"/>
          <w:lang w:eastAsia="en-AU"/>
        </w:rPr>
      </w:pPr>
      <w:bookmarkStart w:id="26" w:name="_Toc46949143"/>
      <w:r>
        <w:t>Safeguarding in a crisis</w:t>
      </w:r>
      <w:bookmarkEnd w:id="26"/>
    </w:p>
    <w:p w14:paraId="6F39FE4A" w14:textId="45EC26D0" w:rsidR="00CC023E" w:rsidRDefault="00A70DDD" w:rsidP="003A2E02">
      <w:pPr>
        <w:spacing w:line="276" w:lineRule="auto"/>
        <w:ind w:left="709"/>
      </w:pPr>
      <w:r>
        <w:t>During the pandemic m</w:t>
      </w:r>
      <w:r w:rsidR="000F72A1">
        <w:t xml:space="preserve">any organisations </w:t>
      </w:r>
      <w:r w:rsidR="00794730">
        <w:t xml:space="preserve">who have safeguarding responsibilities have </w:t>
      </w:r>
      <w:r w:rsidR="006C093B">
        <w:t>struggled to maintain the protections their work previously offered.</w:t>
      </w:r>
      <w:r w:rsidR="001A62EA">
        <w:t xml:space="preserve"> </w:t>
      </w:r>
      <w:r w:rsidR="00546F87">
        <w:t>For example, the United Nation</w:t>
      </w:r>
      <w:r w:rsidR="00B4208A">
        <w:t xml:space="preserve">s Subcommittee on Prevention of Torture suspended </w:t>
      </w:r>
      <w:r w:rsidR="00CA5E3E">
        <w:t xml:space="preserve">their own </w:t>
      </w:r>
      <w:r w:rsidR="00B4208A">
        <w:t>visits</w:t>
      </w:r>
      <w:r w:rsidR="00745180">
        <w:t xml:space="preserve"> in mid-March 2020 due to the pandemic</w:t>
      </w:r>
      <w:r w:rsidR="00393046">
        <w:t xml:space="preserve">, citing the ‘do no harm’ principle. </w:t>
      </w:r>
      <w:r w:rsidR="00A9371B">
        <w:t xml:space="preserve">However, </w:t>
      </w:r>
      <w:r w:rsidR="00496FD0">
        <w:t xml:space="preserve">the </w:t>
      </w:r>
      <w:r w:rsidR="007321B2">
        <w:t>Committee</w:t>
      </w:r>
      <w:r w:rsidR="00722706">
        <w:t xml:space="preserve"> stresses</w:t>
      </w:r>
      <w:r w:rsidR="007321B2">
        <w:t xml:space="preserve"> the increased importance of</w:t>
      </w:r>
      <w:r w:rsidR="00D90F5C">
        <w:t xml:space="preserve"> oversight and monitoring by</w:t>
      </w:r>
      <w:r w:rsidR="007321B2">
        <w:t xml:space="preserve"> </w:t>
      </w:r>
      <w:r w:rsidR="00CA5E3E">
        <w:t xml:space="preserve">in-country </w:t>
      </w:r>
      <w:r w:rsidR="007321B2">
        <w:t xml:space="preserve">National Preventative </w:t>
      </w:r>
      <w:r w:rsidR="007321B2" w:rsidRPr="00F56DA1">
        <w:t xml:space="preserve">Mechanisms (NPMs) </w:t>
      </w:r>
      <w:r w:rsidR="003C2C6C" w:rsidRPr="00F56DA1">
        <w:t xml:space="preserve">during </w:t>
      </w:r>
      <w:r w:rsidR="003C2C6C">
        <w:t>this worldwide pandemic</w:t>
      </w:r>
      <w:r w:rsidR="00140E44">
        <w:t xml:space="preserve">, citing the </w:t>
      </w:r>
      <w:r w:rsidR="00AD0BDB">
        <w:t>‘</w:t>
      </w:r>
      <w:r w:rsidR="00140E44" w:rsidRPr="007D3BA6">
        <w:t>very real pressures that detention systems and those responsible for them now face</w:t>
      </w:r>
      <w:r w:rsidR="00AD0BDB">
        <w:t>’</w:t>
      </w:r>
      <w:r w:rsidR="00925DC7">
        <w:rPr>
          <w:rStyle w:val="FootnoteReference"/>
        </w:rPr>
        <w:footnoteReference w:id="22"/>
      </w:r>
      <w:r w:rsidR="00140E44" w:rsidRPr="007D3BA6">
        <w:t>.</w:t>
      </w:r>
      <w:r w:rsidR="00D90F5C">
        <w:t xml:space="preserve"> </w:t>
      </w:r>
      <w:r w:rsidR="009641DF">
        <w:t>They summarise their position here:</w:t>
      </w:r>
    </w:p>
    <w:p w14:paraId="18321F00" w14:textId="1569312F" w:rsidR="00C90FB6" w:rsidRDefault="00715782" w:rsidP="00DA0194">
      <w:pPr>
        <w:spacing w:line="276" w:lineRule="auto"/>
        <w:ind w:left="709"/>
      </w:pPr>
      <w:r w:rsidRPr="00715782">
        <w:t>The Subcommittee and national preventive mechanisms must be conscious of the “do no harm” principle as they undertake their work. This may mean that national preventive mechanisms should adapt their working methods to meet the situation caused by the pandemic in order to safeguard the public; staff and personnel working in detention facilities, including healthcare staff; detainees; and themselves. The overriding criterion must be that of effectiveness in securing the prevention of ill-treatment of those subject to detaining measures.</w:t>
      </w:r>
      <w:r w:rsidR="00A626DE">
        <w:rPr>
          <w:rStyle w:val="FootnoteReference"/>
        </w:rPr>
        <w:footnoteReference w:id="23"/>
      </w:r>
      <w:r w:rsidR="00AC1AEA">
        <w:t xml:space="preserve"> </w:t>
      </w:r>
      <w:r w:rsidR="00585BEE">
        <w:t>OPA</w:t>
      </w:r>
      <w:r w:rsidR="00BC0A33">
        <w:t xml:space="preserve">, and other safeguarding organisations, have been forced to </w:t>
      </w:r>
      <w:r w:rsidR="00BC0A33">
        <w:lastRenderedPageBreak/>
        <w:t xml:space="preserve">think creatively about how to undertake </w:t>
      </w:r>
      <w:r w:rsidR="0004648E">
        <w:t xml:space="preserve">safeguarding work </w:t>
      </w:r>
      <w:r w:rsidR="00241C6C">
        <w:t xml:space="preserve">in the context of </w:t>
      </w:r>
      <w:r w:rsidR="00C56C94">
        <w:t xml:space="preserve">the limiting circumstances of the </w:t>
      </w:r>
      <w:r w:rsidR="00241C6C">
        <w:t>pandemic</w:t>
      </w:r>
      <w:r w:rsidR="000B5A8A">
        <w:t>, and</w:t>
      </w:r>
      <w:r w:rsidR="009F09C8">
        <w:t>, similarly, believe th</w:t>
      </w:r>
      <w:r w:rsidR="00A21EBB">
        <w:t xml:space="preserve">e pandemic brings additional safety and </w:t>
      </w:r>
      <w:r w:rsidR="008D6713">
        <w:t xml:space="preserve">human </w:t>
      </w:r>
      <w:r w:rsidR="00A21EBB">
        <w:t>rights risks to people with disability</w:t>
      </w:r>
      <w:r w:rsidR="00241C6C">
        <w:t>.</w:t>
      </w:r>
      <w:r w:rsidR="009018E4">
        <w:t xml:space="preserve"> </w:t>
      </w:r>
      <w:r w:rsidR="00025AA5">
        <w:t xml:space="preserve">In our context, ‘stay at home’ orders reduce </w:t>
      </w:r>
      <w:r w:rsidR="00967F9B">
        <w:t>informal monitoring of vulnerable Victorians</w:t>
      </w:r>
      <w:r w:rsidR="00841C17">
        <w:t xml:space="preserve"> in private homes</w:t>
      </w:r>
      <w:r w:rsidR="00967F9B">
        <w:t xml:space="preserve">, as do </w:t>
      </w:r>
      <w:r w:rsidR="00841C17">
        <w:t>strict ‘front door’ policies in aged care or other residential services</w:t>
      </w:r>
      <w:r w:rsidR="00C032D8">
        <w:t>.</w:t>
      </w:r>
      <w:r w:rsidR="00E407AF">
        <w:t xml:space="preserve"> </w:t>
      </w:r>
      <w:r w:rsidR="00746405">
        <w:t xml:space="preserve">OPA’s Advice Service </w:t>
      </w:r>
      <w:r w:rsidR="001F5F9C">
        <w:t xml:space="preserve">note a three-fold increase in notifications </w:t>
      </w:r>
      <w:r w:rsidR="003E14D8">
        <w:t>made via this service to OPA’s Community Visitors Program during the pandemic</w:t>
      </w:r>
      <w:r w:rsidR="008D3AB6">
        <w:t xml:space="preserve">. These notifications </w:t>
      </w:r>
      <w:r w:rsidR="005C489D">
        <w:t xml:space="preserve">demonstrate the number of people concerned about the circumstances of </w:t>
      </w:r>
      <w:r w:rsidR="00787D67">
        <w:t>family and friends</w:t>
      </w:r>
      <w:r w:rsidR="005C489D">
        <w:t xml:space="preserve"> they can no longer visi</w:t>
      </w:r>
      <w:r w:rsidR="00787D67">
        <w:t>t.</w:t>
      </w:r>
    </w:p>
    <w:p w14:paraId="33845BA6" w14:textId="0C55497D" w:rsidR="00403BE6" w:rsidRDefault="00403BE6" w:rsidP="00403BE6">
      <w:pPr>
        <w:spacing w:line="276" w:lineRule="auto"/>
        <w:ind w:left="709"/>
      </w:pPr>
      <w:r w:rsidRPr="00FB6BEE">
        <w:rPr>
          <w:lang w:eastAsia="en-US"/>
        </w:rPr>
        <w:t xml:space="preserve">The </w:t>
      </w:r>
      <w:r w:rsidRPr="00207225">
        <w:rPr>
          <w:lang w:eastAsia="en-US"/>
        </w:rPr>
        <w:t xml:space="preserve">very real risk of </w:t>
      </w:r>
      <w:r w:rsidRPr="00960E47">
        <w:rPr>
          <w:lang w:eastAsia="en-US"/>
        </w:rPr>
        <w:t>widespread transmission of COVID</w:t>
      </w:r>
      <w:r>
        <w:rPr>
          <w:lang w:eastAsia="en-US"/>
        </w:rPr>
        <w:t>-19 to vulnerable people living in congregate care settings has now eventuated in the aged care sector</w:t>
      </w:r>
      <w:r w:rsidR="000523E1">
        <w:rPr>
          <w:lang w:eastAsia="en-US"/>
        </w:rPr>
        <w:t xml:space="preserve"> in Victoria</w:t>
      </w:r>
      <w:r>
        <w:rPr>
          <w:lang w:eastAsia="en-US"/>
        </w:rPr>
        <w:t xml:space="preserve">. OPA notes here the devastation </w:t>
      </w:r>
      <w:r w:rsidR="0003195A">
        <w:rPr>
          <w:lang w:eastAsia="en-US"/>
        </w:rPr>
        <w:t xml:space="preserve">and distress </w:t>
      </w:r>
      <w:r>
        <w:rPr>
          <w:lang w:eastAsia="en-US"/>
        </w:rPr>
        <w:t xml:space="preserve">being experienced by those people living in aged care facilities, their families and loved ones, and nursing and care staff.  </w:t>
      </w:r>
    </w:p>
    <w:p w14:paraId="458EFBA3" w14:textId="4FF65343" w:rsidR="00DA0194" w:rsidRDefault="007E716D" w:rsidP="000A6842">
      <w:pPr>
        <w:spacing w:line="276" w:lineRule="auto"/>
        <w:ind w:left="709"/>
      </w:pPr>
      <w:r w:rsidRPr="00C56C94">
        <w:t xml:space="preserve">Below </w:t>
      </w:r>
      <w:r w:rsidR="0059578B" w:rsidRPr="00C56C94">
        <w:t xml:space="preserve">we document the challenges and </w:t>
      </w:r>
      <w:r w:rsidR="002269AF" w:rsidRPr="00C56C94">
        <w:t xml:space="preserve">responses of OPA’s various safeguarding arms: </w:t>
      </w:r>
      <w:r w:rsidR="00476A12" w:rsidRPr="00C56C94">
        <w:t>guardianship, investigations</w:t>
      </w:r>
      <w:r w:rsidR="006D7B6C" w:rsidRPr="00C56C94">
        <w:t xml:space="preserve"> and medical treatment decisions,</w:t>
      </w:r>
      <w:r w:rsidR="00775EFD" w:rsidRPr="00C56C94">
        <w:t xml:space="preserve"> OPA’s Volunteer Programs</w:t>
      </w:r>
      <w:r w:rsidR="0048697C">
        <w:t xml:space="preserve"> and</w:t>
      </w:r>
      <w:r w:rsidR="00FC2F50">
        <w:t xml:space="preserve"> Disability Act Officers</w:t>
      </w:r>
      <w:r w:rsidR="0048697C">
        <w:t xml:space="preserve">. </w:t>
      </w:r>
      <w:r w:rsidR="00355BFD">
        <w:t xml:space="preserve">And while the </w:t>
      </w:r>
      <w:r w:rsidR="00FC2F50">
        <w:t>Advice Service</w:t>
      </w:r>
      <w:r w:rsidR="00355BFD">
        <w:t xml:space="preserve"> is not technically a safeguarding program</w:t>
      </w:r>
      <w:r w:rsidR="007C7649">
        <w:t xml:space="preserve">, we discuss their role during the </w:t>
      </w:r>
      <w:r w:rsidR="000E2800">
        <w:t>pandemic</w:t>
      </w:r>
      <w:r w:rsidR="0048697C">
        <w:t>.</w:t>
      </w:r>
    </w:p>
    <w:p w14:paraId="4D31C746" w14:textId="6D0093E0" w:rsidR="00BB705D" w:rsidRDefault="001C1463" w:rsidP="002E2947">
      <w:pPr>
        <w:pStyle w:val="Heading2OPA"/>
        <w:numPr>
          <w:ilvl w:val="1"/>
          <w:numId w:val="16"/>
        </w:numPr>
        <w:spacing w:line="276" w:lineRule="auto"/>
        <w:ind w:left="709" w:hanging="709"/>
      </w:pPr>
      <w:bookmarkStart w:id="27" w:name="_Toc46949144"/>
      <w:r>
        <w:t>G</w:t>
      </w:r>
      <w:r w:rsidR="00BB705D">
        <w:t>uardianship</w:t>
      </w:r>
      <w:bookmarkEnd w:id="27"/>
    </w:p>
    <w:p w14:paraId="7AB6D650" w14:textId="348DC593" w:rsidR="00901B28" w:rsidRDefault="00CA45DB" w:rsidP="00901B28">
      <w:pPr>
        <w:spacing w:line="276" w:lineRule="auto"/>
        <w:ind w:left="709"/>
        <w:rPr>
          <w:lang w:eastAsia="en-US"/>
        </w:rPr>
      </w:pPr>
      <w:r>
        <w:rPr>
          <w:lang w:eastAsia="en-US"/>
        </w:rPr>
        <w:t xml:space="preserve">Guided by a ‘do no harm’ principle, OPA </w:t>
      </w:r>
      <w:r w:rsidR="00434ABB">
        <w:rPr>
          <w:lang w:eastAsia="en-US"/>
        </w:rPr>
        <w:t xml:space="preserve">decided to </w:t>
      </w:r>
      <w:r w:rsidR="00FF51AB">
        <w:rPr>
          <w:lang w:eastAsia="en-US"/>
        </w:rPr>
        <w:t>cease</w:t>
      </w:r>
      <w:r w:rsidR="00434ABB">
        <w:rPr>
          <w:lang w:eastAsia="en-US"/>
        </w:rPr>
        <w:t xml:space="preserve"> </w:t>
      </w:r>
      <w:r w:rsidR="00DA08BC">
        <w:rPr>
          <w:lang w:eastAsia="en-US"/>
        </w:rPr>
        <w:t xml:space="preserve">face-to-face </w:t>
      </w:r>
      <w:r w:rsidR="00FF51AB">
        <w:rPr>
          <w:lang w:eastAsia="en-US"/>
        </w:rPr>
        <w:t>visits and meetings</w:t>
      </w:r>
      <w:r w:rsidR="00DA08BC">
        <w:rPr>
          <w:lang w:eastAsia="en-US"/>
        </w:rPr>
        <w:t xml:space="preserve"> between its staff and </w:t>
      </w:r>
      <w:r w:rsidR="00FF51AB">
        <w:rPr>
          <w:lang w:eastAsia="en-US"/>
        </w:rPr>
        <w:t xml:space="preserve">clients </w:t>
      </w:r>
      <w:r w:rsidR="003D3A21">
        <w:rPr>
          <w:lang w:eastAsia="en-US"/>
        </w:rPr>
        <w:t xml:space="preserve">unless it was </w:t>
      </w:r>
      <w:r w:rsidR="00E90E4E">
        <w:rPr>
          <w:lang w:eastAsia="en-US"/>
        </w:rPr>
        <w:t xml:space="preserve">impossible, without undertaking a visit, to know if the person was safe </w:t>
      </w:r>
      <w:r w:rsidR="00481CFE">
        <w:rPr>
          <w:lang w:eastAsia="en-US"/>
        </w:rPr>
        <w:t xml:space="preserve">or </w:t>
      </w:r>
      <w:r w:rsidR="00330966">
        <w:rPr>
          <w:lang w:eastAsia="en-US"/>
        </w:rPr>
        <w:t>to</w:t>
      </w:r>
      <w:r w:rsidR="00481CFE">
        <w:rPr>
          <w:lang w:eastAsia="en-US"/>
        </w:rPr>
        <w:t xml:space="preserve"> have enough information to make a guardianship decision</w:t>
      </w:r>
      <w:r w:rsidR="00330966">
        <w:rPr>
          <w:lang w:eastAsia="en-US"/>
        </w:rPr>
        <w:t>.</w:t>
      </w:r>
      <w:r w:rsidR="00976773">
        <w:rPr>
          <w:lang w:eastAsia="en-US"/>
        </w:rPr>
        <w:t xml:space="preserve"> </w:t>
      </w:r>
      <w:r w:rsidR="00403BE6">
        <w:rPr>
          <w:lang w:eastAsia="en-US"/>
        </w:rPr>
        <w:t xml:space="preserve">This decision was </w:t>
      </w:r>
      <w:r w:rsidR="00C56C94">
        <w:rPr>
          <w:lang w:eastAsia="en-US"/>
        </w:rPr>
        <w:t>made after careful deliberation</w:t>
      </w:r>
      <w:r w:rsidR="00924E8B">
        <w:rPr>
          <w:lang w:eastAsia="en-US"/>
        </w:rPr>
        <w:t xml:space="preserve"> and balancing of risks</w:t>
      </w:r>
      <w:r w:rsidR="00C56C94">
        <w:rPr>
          <w:lang w:eastAsia="en-US"/>
        </w:rPr>
        <w:t>.</w:t>
      </w:r>
      <w:r w:rsidR="00403BE6">
        <w:rPr>
          <w:lang w:eastAsia="en-US"/>
        </w:rPr>
        <w:t xml:space="preserve"> </w:t>
      </w:r>
      <w:r w:rsidR="00976773">
        <w:rPr>
          <w:lang w:eastAsia="en-US"/>
        </w:rPr>
        <w:t xml:space="preserve">Also, some </w:t>
      </w:r>
      <w:r w:rsidR="00F02686">
        <w:rPr>
          <w:lang w:eastAsia="en-US"/>
        </w:rPr>
        <w:t xml:space="preserve">OPA staff </w:t>
      </w:r>
      <w:r w:rsidR="00976773">
        <w:rPr>
          <w:lang w:eastAsia="en-US"/>
        </w:rPr>
        <w:t xml:space="preserve">visits have been </w:t>
      </w:r>
      <w:r w:rsidR="00F02686">
        <w:rPr>
          <w:lang w:eastAsia="en-US"/>
        </w:rPr>
        <w:t>denied by facility staff due to perceived risk of virus transmission.</w:t>
      </w:r>
      <w:r w:rsidR="00E37CCD">
        <w:rPr>
          <w:lang w:eastAsia="en-US"/>
        </w:rPr>
        <w:t xml:space="preserve"> </w:t>
      </w:r>
      <w:r w:rsidR="002E1F12">
        <w:rPr>
          <w:lang w:eastAsia="en-US"/>
        </w:rPr>
        <w:t xml:space="preserve">Hence, in </w:t>
      </w:r>
      <w:r w:rsidR="0025572F">
        <w:rPr>
          <w:lang w:eastAsia="en-US"/>
        </w:rPr>
        <w:t>most</w:t>
      </w:r>
      <w:r w:rsidR="002E1F12">
        <w:rPr>
          <w:lang w:eastAsia="en-US"/>
        </w:rPr>
        <w:t xml:space="preserve"> situations staff are reliant on technological solutions</w:t>
      </w:r>
      <w:r w:rsidR="007D6654">
        <w:rPr>
          <w:lang w:eastAsia="en-US"/>
        </w:rPr>
        <w:t xml:space="preserve"> to communicate with clients, or, alternatively, on the people around them to describe the person’s situation and preferences.</w:t>
      </w:r>
    </w:p>
    <w:p w14:paraId="4DB16D48" w14:textId="4AC0ED50" w:rsidR="00B17B46" w:rsidRDefault="00D72DCD" w:rsidP="00901B28">
      <w:pPr>
        <w:spacing w:line="276" w:lineRule="auto"/>
        <w:ind w:left="709"/>
        <w:rPr>
          <w:lang w:eastAsia="en-US"/>
        </w:rPr>
      </w:pPr>
      <w:r>
        <w:rPr>
          <w:lang w:eastAsia="en-US"/>
        </w:rPr>
        <w:t xml:space="preserve">Technology </w:t>
      </w:r>
      <w:r w:rsidR="0025572F">
        <w:rPr>
          <w:lang w:eastAsia="en-US"/>
        </w:rPr>
        <w:t xml:space="preserve">has enabled </w:t>
      </w:r>
      <w:r w:rsidR="00D31EF8">
        <w:rPr>
          <w:lang w:eastAsia="en-US"/>
        </w:rPr>
        <w:t>effective communication with many clients</w:t>
      </w:r>
      <w:r w:rsidR="00604536">
        <w:rPr>
          <w:lang w:eastAsia="en-US"/>
        </w:rPr>
        <w:t>, particularly with verbal and younger clients</w:t>
      </w:r>
      <w:r w:rsidR="00776334">
        <w:rPr>
          <w:lang w:eastAsia="en-US"/>
        </w:rPr>
        <w:t xml:space="preserve">. Noting that access to </w:t>
      </w:r>
      <w:r w:rsidR="00C560BF">
        <w:rPr>
          <w:lang w:eastAsia="en-US"/>
        </w:rPr>
        <w:t xml:space="preserve">video call technology should be considered a human right </w:t>
      </w:r>
      <w:r w:rsidR="007F7B28">
        <w:rPr>
          <w:lang w:eastAsia="en-US"/>
        </w:rPr>
        <w:t>in this time and place, staff also say that elderly and non-verbal people</w:t>
      </w:r>
      <w:r w:rsidR="00D814CA">
        <w:rPr>
          <w:lang w:eastAsia="en-US"/>
        </w:rPr>
        <w:t xml:space="preserve"> have often been difficult to engage </w:t>
      </w:r>
      <w:r w:rsidR="0041500C">
        <w:rPr>
          <w:lang w:eastAsia="en-US"/>
        </w:rPr>
        <w:t>online.</w:t>
      </w:r>
      <w:r w:rsidR="00784FA5">
        <w:rPr>
          <w:lang w:eastAsia="en-US"/>
        </w:rPr>
        <w:t xml:space="preserve"> </w:t>
      </w:r>
      <w:r w:rsidR="00C56C94">
        <w:rPr>
          <w:lang w:eastAsia="en-US"/>
        </w:rPr>
        <w:t xml:space="preserve">The Commission will not be surprised that the </w:t>
      </w:r>
      <w:r w:rsidR="00784FA5">
        <w:rPr>
          <w:lang w:eastAsia="en-US"/>
        </w:rPr>
        <w:t xml:space="preserve"> ability of substitute decision-makers to </w:t>
      </w:r>
      <w:r w:rsidR="00E26494">
        <w:rPr>
          <w:lang w:eastAsia="en-US"/>
        </w:rPr>
        <w:t xml:space="preserve">ascertain the will and preferences of clients </w:t>
      </w:r>
      <w:r w:rsidR="00EF1D9D">
        <w:rPr>
          <w:lang w:eastAsia="en-US"/>
        </w:rPr>
        <w:t xml:space="preserve">who cannot engage with them </w:t>
      </w:r>
      <w:r w:rsidR="00EA4387">
        <w:rPr>
          <w:lang w:eastAsia="en-US"/>
        </w:rPr>
        <w:t xml:space="preserve">effectively </w:t>
      </w:r>
      <w:r w:rsidR="00EF1D9D">
        <w:rPr>
          <w:lang w:eastAsia="en-US"/>
        </w:rPr>
        <w:t>online</w:t>
      </w:r>
      <w:r w:rsidR="00FF2404">
        <w:rPr>
          <w:lang w:eastAsia="en-US"/>
        </w:rPr>
        <w:t xml:space="preserve"> has been a real challenge during the pandemic. Decision-makers </w:t>
      </w:r>
      <w:r w:rsidR="00E268A9">
        <w:rPr>
          <w:lang w:eastAsia="en-US"/>
        </w:rPr>
        <w:t xml:space="preserve">find themselves reliant on the accounts of those around the person, </w:t>
      </w:r>
      <w:r w:rsidR="00FB3FF8">
        <w:rPr>
          <w:lang w:eastAsia="en-US"/>
        </w:rPr>
        <w:t xml:space="preserve">which may occasionally be </w:t>
      </w:r>
      <w:r w:rsidR="00C76304">
        <w:rPr>
          <w:lang w:eastAsia="en-US"/>
        </w:rPr>
        <w:t xml:space="preserve">misleading. </w:t>
      </w:r>
      <w:r w:rsidR="00F15CC1">
        <w:rPr>
          <w:lang w:eastAsia="en-US"/>
        </w:rPr>
        <w:t xml:space="preserve">Multiple OPA staff noted that being in the room with someone, and seeing their </w:t>
      </w:r>
      <w:r w:rsidR="00844217">
        <w:rPr>
          <w:lang w:eastAsia="en-US"/>
        </w:rPr>
        <w:t xml:space="preserve">home </w:t>
      </w:r>
      <w:r w:rsidR="00F15CC1">
        <w:rPr>
          <w:lang w:eastAsia="en-US"/>
        </w:rPr>
        <w:t xml:space="preserve">circumstances </w:t>
      </w:r>
      <w:r w:rsidR="00203B38">
        <w:rPr>
          <w:lang w:eastAsia="en-US"/>
        </w:rPr>
        <w:t xml:space="preserve">and relationships with their carers </w:t>
      </w:r>
      <w:r w:rsidR="00F15CC1">
        <w:rPr>
          <w:lang w:eastAsia="en-US"/>
        </w:rPr>
        <w:t>first-hand</w:t>
      </w:r>
      <w:r w:rsidR="00BD4C04">
        <w:rPr>
          <w:lang w:eastAsia="en-US"/>
        </w:rPr>
        <w:t xml:space="preserve">, </w:t>
      </w:r>
      <w:r w:rsidR="00203B38">
        <w:rPr>
          <w:lang w:eastAsia="en-US"/>
        </w:rPr>
        <w:t xml:space="preserve">provided multiple clues that just were not available </w:t>
      </w:r>
      <w:r w:rsidR="008E07B3">
        <w:rPr>
          <w:lang w:eastAsia="en-US"/>
        </w:rPr>
        <w:t xml:space="preserve">from a phone call or a video chat. </w:t>
      </w:r>
      <w:r w:rsidR="001F7224">
        <w:rPr>
          <w:lang w:eastAsia="en-US"/>
        </w:rPr>
        <w:t xml:space="preserve">This meant </w:t>
      </w:r>
      <w:r w:rsidR="001F7224" w:rsidRPr="00960E47">
        <w:rPr>
          <w:lang w:eastAsia="en-US"/>
        </w:rPr>
        <w:t>that OPA staff were</w:t>
      </w:r>
      <w:r w:rsidR="00C56C94">
        <w:rPr>
          <w:lang w:eastAsia="en-US"/>
        </w:rPr>
        <w:t xml:space="preserve"> </w:t>
      </w:r>
      <w:r w:rsidR="00A95B75" w:rsidRPr="00960E47">
        <w:rPr>
          <w:lang w:eastAsia="en-US"/>
        </w:rPr>
        <w:t xml:space="preserve">uncomfortable about relying on </w:t>
      </w:r>
      <w:r w:rsidR="00D00370" w:rsidRPr="00960E47">
        <w:rPr>
          <w:lang w:eastAsia="en-US"/>
        </w:rPr>
        <w:t>these forms of contact for new clients.</w:t>
      </w:r>
      <w:r w:rsidR="00960E47">
        <w:rPr>
          <w:lang w:eastAsia="en-US"/>
        </w:rPr>
        <w:t xml:space="preserve"> </w:t>
      </w:r>
    </w:p>
    <w:p w14:paraId="3A7D793F" w14:textId="77777777" w:rsidR="00C00652" w:rsidRDefault="009D06EC" w:rsidP="00C00652">
      <w:pPr>
        <w:spacing w:line="276" w:lineRule="auto"/>
        <w:ind w:left="709"/>
        <w:rPr>
          <w:lang w:eastAsia="en-US"/>
        </w:rPr>
      </w:pPr>
      <w:r>
        <w:rPr>
          <w:lang w:eastAsia="en-US"/>
        </w:rPr>
        <w:t>OPA staff also had more difficulty</w:t>
      </w:r>
      <w:r w:rsidR="00461596">
        <w:rPr>
          <w:lang w:eastAsia="en-US"/>
        </w:rPr>
        <w:t xml:space="preserve"> </w:t>
      </w:r>
      <w:r w:rsidR="006F2B16">
        <w:rPr>
          <w:lang w:eastAsia="en-US"/>
        </w:rPr>
        <w:t xml:space="preserve">being confident of a person’s needs, will and preferences </w:t>
      </w:r>
      <w:r w:rsidR="00102C5A">
        <w:rPr>
          <w:lang w:eastAsia="en-US"/>
        </w:rPr>
        <w:t xml:space="preserve">in circumstances where their clients </w:t>
      </w:r>
      <w:r w:rsidR="00EA599E">
        <w:rPr>
          <w:lang w:eastAsia="en-US"/>
        </w:rPr>
        <w:t>resided</w:t>
      </w:r>
      <w:r w:rsidR="00102C5A">
        <w:rPr>
          <w:lang w:eastAsia="en-US"/>
        </w:rPr>
        <w:t xml:space="preserve"> </w:t>
      </w:r>
      <w:r w:rsidR="00D671AE">
        <w:rPr>
          <w:lang w:eastAsia="en-US"/>
        </w:rPr>
        <w:t>outside well-regulated settings</w:t>
      </w:r>
      <w:r w:rsidR="00EA599E">
        <w:rPr>
          <w:lang w:eastAsia="en-US"/>
        </w:rPr>
        <w:t xml:space="preserve"> </w:t>
      </w:r>
      <w:r w:rsidR="00606386">
        <w:rPr>
          <w:lang w:eastAsia="en-US"/>
        </w:rPr>
        <w:t>like nursing homes, health care settings and disability residential services.</w:t>
      </w:r>
      <w:r w:rsidR="006F2B16">
        <w:rPr>
          <w:lang w:eastAsia="en-US"/>
        </w:rPr>
        <w:t xml:space="preserve"> </w:t>
      </w:r>
      <w:r w:rsidR="00456376">
        <w:rPr>
          <w:lang w:eastAsia="en-US"/>
        </w:rPr>
        <w:t>This is because</w:t>
      </w:r>
      <w:r w:rsidR="001F6EBA">
        <w:rPr>
          <w:lang w:eastAsia="en-US"/>
        </w:rPr>
        <w:t xml:space="preserve">, in the absence of </w:t>
      </w:r>
      <w:r w:rsidR="00D6670D">
        <w:rPr>
          <w:lang w:eastAsia="en-US"/>
        </w:rPr>
        <w:t xml:space="preserve">face-to-face visiting, guardians were less likely to have reliable </w:t>
      </w:r>
      <w:r w:rsidR="00C00652">
        <w:rPr>
          <w:lang w:eastAsia="en-US"/>
        </w:rPr>
        <w:t>independent informants around the person.</w:t>
      </w:r>
    </w:p>
    <w:p w14:paraId="2450E1D3" w14:textId="42CB5987" w:rsidR="008E1709" w:rsidRDefault="00526B8C" w:rsidP="00901B28">
      <w:pPr>
        <w:spacing w:line="276" w:lineRule="auto"/>
        <w:ind w:left="709"/>
        <w:rPr>
          <w:lang w:eastAsia="en-US"/>
        </w:rPr>
      </w:pPr>
      <w:r>
        <w:rPr>
          <w:lang w:eastAsia="en-US"/>
        </w:rPr>
        <w:t>Guardians and other OPA staff see v</w:t>
      </w:r>
      <w:r w:rsidR="00995E1C">
        <w:rPr>
          <w:lang w:eastAsia="en-US"/>
        </w:rPr>
        <w:t>ideo technology</w:t>
      </w:r>
      <w:r>
        <w:rPr>
          <w:lang w:eastAsia="en-US"/>
        </w:rPr>
        <w:t xml:space="preserve"> </w:t>
      </w:r>
      <w:r w:rsidR="00CF375D">
        <w:rPr>
          <w:lang w:eastAsia="en-US"/>
        </w:rPr>
        <w:t>as helping them to connect with clients and build a fuller picture of their lives</w:t>
      </w:r>
      <w:r w:rsidR="00E5012C">
        <w:rPr>
          <w:lang w:eastAsia="en-US"/>
        </w:rPr>
        <w:t xml:space="preserve"> (and indeed, OPA is likely to utilise technology more into the future)</w:t>
      </w:r>
      <w:r w:rsidR="00F92051">
        <w:rPr>
          <w:lang w:eastAsia="en-US"/>
        </w:rPr>
        <w:t xml:space="preserve">, however, </w:t>
      </w:r>
      <w:r w:rsidR="00CC6DDE">
        <w:rPr>
          <w:lang w:eastAsia="en-US"/>
        </w:rPr>
        <w:t xml:space="preserve">this option is not always available and </w:t>
      </w:r>
      <w:r w:rsidR="00E55918">
        <w:rPr>
          <w:lang w:eastAsia="en-US"/>
        </w:rPr>
        <w:t>will</w:t>
      </w:r>
      <w:r w:rsidR="00CC6DDE">
        <w:rPr>
          <w:lang w:eastAsia="en-US"/>
        </w:rPr>
        <w:t xml:space="preserve"> never</w:t>
      </w:r>
      <w:r w:rsidR="00E55918">
        <w:rPr>
          <w:lang w:eastAsia="en-US"/>
        </w:rPr>
        <w:t xml:space="preserve"> provide as </w:t>
      </w:r>
      <w:r w:rsidR="00E55918">
        <w:rPr>
          <w:lang w:eastAsia="en-US"/>
        </w:rPr>
        <w:lastRenderedPageBreak/>
        <w:t>much information as a face-to-face visit.</w:t>
      </w:r>
      <w:r w:rsidR="00CC6DDE">
        <w:rPr>
          <w:lang w:eastAsia="en-US"/>
        </w:rPr>
        <w:t xml:space="preserve"> </w:t>
      </w:r>
      <w:r w:rsidR="007D381D">
        <w:rPr>
          <w:lang w:eastAsia="en-US"/>
        </w:rPr>
        <w:t xml:space="preserve">OPA </w:t>
      </w:r>
      <w:r w:rsidR="002B74F3">
        <w:rPr>
          <w:lang w:eastAsia="en-US"/>
        </w:rPr>
        <w:t xml:space="preserve">nevertheless </w:t>
      </w:r>
      <w:r w:rsidR="007D381D">
        <w:rPr>
          <w:lang w:eastAsia="en-US"/>
        </w:rPr>
        <w:t xml:space="preserve">supports efforts to </w:t>
      </w:r>
      <w:r w:rsidR="0099032E">
        <w:rPr>
          <w:lang w:eastAsia="en-US"/>
        </w:rPr>
        <w:t xml:space="preserve">increase </w:t>
      </w:r>
      <w:r w:rsidR="002A1736">
        <w:rPr>
          <w:lang w:eastAsia="en-US"/>
        </w:rPr>
        <w:t xml:space="preserve">access and </w:t>
      </w:r>
      <w:r w:rsidR="007D381D">
        <w:rPr>
          <w:lang w:eastAsia="en-US"/>
        </w:rPr>
        <w:t xml:space="preserve">build skills of people with disability </w:t>
      </w:r>
      <w:r w:rsidR="002A1736">
        <w:rPr>
          <w:lang w:eastAsia="en-US"/>
        </w:rPr>
        <w:t>(</w:t>
      </w:r>
      <w:r w:rsidR="007D381D">
        <w:rPr>
          <w:lang w:eastAsia="en-US"/>
        </w:rPr>
        <w:t>and their supporters</w:t>
      </w:r>
      <w:r w:rsidR="002A1736">
        <w:rPr>
          <w:lang w:eastAsia="en-US"/>
        </w:rPr>
        <w:t xml:space="preserve">) </w:t>
      </w:r>
      <w:r w:rsidR="00E94C39">
        <w:rPr>
          <w:lang w:eastAsia="en-US"/>
        </w:rPr>
        <w:t>in technology use</w:t>
      </w:r>
      <w:r w:rsidR="00DA27BD">
        <w:rPr>
          <w:lang w:eastAsia="en-US"/>
        </w:rPr>
        <w:t xml:space="preserve"> </w:t>
      </w:r>
      <w:r w:rsidR="00E94C39">
        <w:rPr>
          <w:lang w:eastAsia="en-US"/>
        </w:rPr>
        <w:t>to</w:t>
      </w:r>
      <w:r w:rsidR="00DA27BD">
        <w:rPr>
          <w:lang w:eastAsia="en-US"/>
        </w:rPr>
        <w:t xml:space="preserve"> help them stay connected with friends and services during the pandemic.</w:t>
      </w:r>
      <w:r w:rsidR="00E5012C">
        <w:rPr>
          <w:lang w:eastAsia="en-US"/>
        </w:rPr>
        <w:t xml:space="preserve"> </w:t>
      </w:r>
    </w:p>
    <w:p w14:paraId="5E7A6B4E" w14:textId="788C4C9F" w:rsidR="001A7199" w:rsidRPr="00194A3C" w:rsidRDefault="001A7199" w:rsidP="001A7199">
      <w:pPr>
        <w:spacing w:line="276" w:lineRule="auto"/>
        <w:ind w:left="709"/>
        <w:rPr>
          <w:b/>
          <w:bCs/>
          <w:lang w:eastAsia="en-US"/>
        </w:rPr>
      </w:pPr>
      <w:r w:rsidRPr="00194A3C">
        <w:rPr>
          <w:b/>
          <w:bCs/>
          <w:lang w:eastAsia="en-US"/>
        </w:rPr>
        <w:t>Recommendation 1</w:t>
      </w:r>
      <w:r w:rsidR="008D2C23">
        <w:rPr>
          <w:b/>
          <w:bCs/>
          <w:lang w:eastAsia="en-US"/>
        </w:rPr>
        <w:t>4</w:t>
      </w:r>
    </w:p>
    <w:p w14:paraId="1973667B" w14:textId="77777777" w:rsidR="001A7199" w:rsidRPr="00194A3C" w:rsidRDefault="001A7199" w:rsidP="001A7199">
      <w:pPr>
        <w:spacing w:line="276" w:lineRule="auto"/>
        <w:ind w:left="709"/>
        <w:rPr>
          <w:b/>
          <w:bCs/>
          <w:lang w:eastAsia="en-US"/>
        </w:rPr>
      </w:pPr>
      <w:r w:rsidRPr="00194A3C">
        <w:rPr>
          <w:b/>
          <w:bCs/>
          <w:lang w:eastAsia="en-US"/>
        </w:rPr>
        <w:t>NDIA and government departments with health and disability responsibilities should be preparing for future public health emergencies by enhancing the ability of people with disability to access and use new technologies.</w:t>
      </w:r>
    </w:p>
    <w:p w14:paraId="6DA5F3FC" w14:textId="7D74A598" w:rsidR="00C45E96" w:rsidRDefault="00844BE1" w:rsidP="00901B28">
      <w:pPr>
        <w:spacing w:line="276" w:lineRule="auto"/>
        <w:ind w:left="709"/>
        <w:rPr>
          <w:lang w:eastAsia="en-US"/>
        </w:rPr>
      </w:pPr>
      <w:r>
        <w:rPr>
          <w:lang w:eastAsia="en-US"/>
        </w:rPr>
        <w:t xml:space="preserve">Guardians </w:t>
      </w:r>
      <w:r w:rsidR="000E218B">
        <w:rPr>
          <w:lang w:eastAsia="en-US"/>
        </w:rPr>
        <w:t>a</w:t>
      </w:r>
      <w:r w:rsidR="00F71651">
        <w:rPr>
          <w:lang w:eastAsia="en-US"/>
        </w:rPr>
        <w:t>re</w:t>
      </w:r>
      <w:r w:rsidR="000E218B">
        <w:rPr>
          <w:lang w:eastAsia="en-US"/>
        </w:rPr>
        <w:t xml:space="preserve"> often reliant on the engagement of other services </w:t>
      </w:r>
      <w:r w:rsidR="00F71651">
        <w:rPr>
          <w:lang w:eastAsia="en-US"/>
        </w:rPr>
        <w:t>with the client to help them understand what is going on</w:t>
      </w:r>
      <w:r w:rsidR="00F015D3">
        <w:rPr>
          <w:lang w:eastAsia="en-US"/>
        </w:rPr>
        <w:t xml:space="preserve">, during public emergencies some of these services are </w:t>
      </w:r>
      <w:r w:rsidR="00A91A78">
        <w:rPr>
          <w:lang w:eastAsia="en-US"/>
        </w:rPr>
        <w:t xml:space="preserve">justifiably </w:t>
      </w:r>
      <w:r w:rsidR="00F015D3">
        <w:rPr>
          <w:lang w:eastAsia="en-US"/>
        </w:rPr>
        <w:t>suspended.</w:t>
      </w:r>
    </w:p>
    <w:p w14:paraId="17B46741" w14:textId="5F98D80B" w:rsidR="00EE52F3" w:rsidRDefault="00400CD2" w:rsidP="00EE52F3">
      <w:pPr>
        <w:spacing w:line="276" w:lineRule="auto"/>
        <w:ind w:left="709"/>
        <w:rPr>
          <w:lang w:eastAsia="en-US"/>
        </w:rPr>
      </w:pPr>
      <w:r>
        <w:rPr>
          <w:lang w:eastAsia="en-US"/>
        </w:rPr>
        <w:t>Importantly, o</w:t>
      </w:r>
      <w:r w:rsidR="00EE52F3">
        <w:rPr>
          <w:lang w:eastAsia="en-US"/>
        </w:rPr>
        <w:t>verall, guardians report being able to gather enough information and ascertain clients</w:t>
      </w:r>
      <w:r w:rsidR="00EB3D3E">
        <w:rPr>
          <w:lang w:eastAsia="en-US"/>
        </w:rPr>
        <w:t>’</w:t>
      </w:r>
      <w:r w:rsidR="00EE52F3">
        <w:rPr>
          <w:lang w:eastAsia="en-US"/>
        </w:rPr>
        <w:t xml:space="preserve"> will and preferences sufficiently (without face-to-face visits) to make the decisions they have to make. In some cases</w:t>
      </w:r>
      <w:r w:rsidR="00FA6A22">
        <w:rPr>
          <w:lang w:eastAsia="en-US"/>
        </w:rPr>
        <w:t>,</w:t>
      </w:r>
      <w:r w:rsidR="00EE52F3">
        <w:rPr>
          <w:lang w:eastAsia="en-US"/>
        </w:rPr>
        <w:t xml:space="preserve"> these decisions are interim decisions where, for example, pandemic related constraints prevent the necessary assessments or trials of new care arrangements. While being able to make do with what resources they have, all Guardians look forward to a time when face-to-face visits are less constrained. Where assessed as justified and necessary, face-to-face visits are still undertaken with health precautions.</w:t>
      </w:r>
    </w:p>
    <w:p w14:paraId="7EE9D56B" w14:textId="3327D792" w:rsidR="00EE52F3" w:rsidRDefault="000523E1" w:rsidP="00EE52F3">
      <w:pPr>
        <w:spacing w:line="276" w:lineRule="auto"/>
        <w:ind w:left="709"/>
        <w:rPr>
          <w:lang w:eastAsia="en-US"/>
        </w:rPr>
      </w:pPr>
      <w:r>
        <w:rPr>
          <w:lang w:eastAsia="en-US"/>
        </w:rPr>
        <w:t xml:space="preserve">The new </w:t>
      </w:r>
      <w:r w:rsidRPr="000523E1">
        <w:rPr>
          <w:i/>
          <w:lang w:eastAsia="en-US"/>
        </w:rPr>
        <w:t>Guardianship and Administration Act 2019</w:t>
      </w:r>
      <w:r>
        <w:rPr>
          <w:lang w:eastAsia="en-US"/>
        </w:rPr>
        <w:t xml:space="preserve"> (Vic) requires guardians (and administrators), when making decisions, to give all practicable and appropriate effect to the represented persons will and preference if these are known, and, if not, to what they believe these are likely to be. T</w:t>
      </w:r>
      <w:r w:rsidR="00EE52F3">
        <w:rPr>
          <w:lang w:eastAsia="en-US"/>
        </w:rPr>
        <w:t xml:space="preserve">he current public health emergency </w:t>
      </w:r>
      <w:r w:rsidR="00400CD2">
        <w:rPr>
          <w:lang w:eastAsia="en-US"/>
        </w:rPr>
        <w:t>has made this</w:t>
      </w:r>
      <w:r w:rsidR="00EE52F3">
        <w:rPr>
          <w:lang w:eastAsia="en-US"/>
        </w:rPr>
        <w:t xml:space="preserve"> more difficult.</w:t>
      </w:r>
    </w:p>
    <w:p w14:paraId="766718E7" w14:textId="4CE7A05C" w:rsidR="00DE211C" w:rsidRDefault="00844563" w:rsidP="0050573F">
      <w:pPr>
        <w:spacing w:line="276" w:lineRule="auto"/>
        <w:ind w:left="709"/>
        <w:rPr>
          <w:lang w:eastAsia="en-US"/>
        </w:rPr>
      </w:pPr>
      <w:r>
        <w:rPr>
          <w:lang w:eastAsia="en-US"/>
        </w:rPr>
        <w:t xml:space="preserve">The significant impact of the pandemic on VCAT </w:t>
      </w:r>
      <w:r w:rsidR="00B77084">
        <w:rPr>
          <w:lang w:eastAsia="en-US"/>
        </w:rPr>
        <w:t>capacity to hold in-person hearings has resulted in instances where hearing the voices of people with disability has been difficult.</w:t>
      </w:r>
      <w:r w:rsidR="0065148C">
        <w:rPr>
          <w:lang w:eastAsia="en-US"/>
        </w:rPr>
        <w:t xml:space="preserve"> </w:t>
      </w:r>
      <w:r w:rsidR="003D568D">
        <w:rPr>
          <w:lang w:eastAsia="en-US"/>
        </w:rPr>
        <w:t>The telephone and video call VCAT hearings are more difficult for some people with disability to engage with</w:t>
      </w:r>
      <w:r w:rsidR="00CF3984">
        <w:rPr>
          <w:lang w:eastAsia="en-US"/>
        </w:rPr>
        <w:t xml:space="preserve">, and </w:t>
      </w:r>
      <w:r w:rsidR="00BD560E">
        <w:rPr>
          <w:lang w:eastAsia="en-US"/>
        </w:rPr>
        <w:t xml:space="preserve">there are more hurdles </w:t>
      </w:r>
      <w:r w:rsidR="00CF3984">
        <w:rPr>
          <w:lang w:eastAsia="en-US"/>
        </w:rPr>
        <w:t>for OPA staff seeking the views of the represented person</w:t>
      </w:r>
      <w:r w:rsidR="00BD560E">
        <w:rPr>
          <w:lang w:eastAsia="en-US"/>
        </w:rPr>
        <w:t xml:space="preserve"> (under guardianship)</w:t>
      </w:r>
      <w:r w:rsidR="001922D2">
        <w:rPr>
          <w:lang w:eastAsia="en-US"/>
        </w:rPr>
        <w:t>.</w:t>
      </w:r>
      <w:r w:rsidR="00437E8D">
        <w:rPr>
          <w:lang w:eastAsia="en-US"/>
        </w:rPr>
        <w:t xml:space="preserve"> </w:t>
      </w:r>
    </w:p>
    <w:p w14:paraId="2BFC1847" w14:textId="27E2A9AD" w:rsidR="002E2947" w:rsidRPr="002E2947" w:rsidRDefault="00FF5335" w:rsidP="00C30992">
      <w:pPr>
        <w:spacing w:line="276" w:lineRule="auto"/>
        <w:ind w:left="709"/>
        <w:rPr>
          <w:lang w:eastAsia="en-US"/>
        </w:rPr>
      </w:pPr>
      <w:r>
        <w:rPr>
          <w:lang w:eastAsia="en-US"/>
        </w:rPr>
        <w:t>In relation to</w:t>
      </w:r>
      <w:r w:rsidR="00AC733C">
        <w:rPr>
          <w:lang w:eastAsia="en-US"/>
        </w:rPr>
        <w:t xml:space="preserve"> </w:t>
      </w:r>
      <w:r w:rsidR="00DE7A10">
        <w:rPr>
          <w:lang w:eastAsia="en-US"/>
        </w:rPr>
        <w:t xml:space="preserve">Victoria’s regular fire season, OPA has </w:t>
      </w:r>
      <w:r w:rsidR="0050573F">
        <w:rPr>
          <w:lang w:eastAsia="en-US"/>
        </w:rPr>
        <w:t xml:space="preserve">sought to ensure </w:t>
      </w:r>
      <w:r w:rsidR="0050573F" w:rsidRPr="00551F9E">
        <w:rPr>
          <w:lang w:eastAsia="en-US"/>
        </w:rPr>
        <w:t xml:space="preserve">that all of their clients </w:t>
      </w:r>
      <w:r w:rsidR="00F14143">
        <w:rPr>
          <w:lang w:eastAsia="en-US"/>
        </w:rPr>
        <w:t xml:space="preserve">are </w:t>
      </w:r>
      <w:r w:rsidR="0050573F" w:rsidRPr="00551F9E">
        <w:rPr>
          <w:lang w:eastAsia="en-US"/>
        </w:rPr>
        <w:t>on the State's vulnerable persons register</w:t>
      </w:r>
      <w:r w:rsidR="00F14143">
        <w:rPr>
          <w:lang w:eastAsia="en-US"/>
        </w:rPr>
        <w:t xml:space="preserve"> ahead of the fire season</w:t>
      </w:r>
      <w:r w:rsidR="0050573F" w:rsidRPr="00551F9E">
        <w:rPr>
          <w:lang w:eastAsia="en-US"/>
        </w:rPr>
        <w:t xml:space="preserve">. </w:t>
      </w:r>
      <w:r w:rsidR="00967FC9">
        <w:rPr>
          <w:lang w:eastAsia="en-US"/>
        </w:rPr>
        <w:t xml:space="preserve">Guardians have been asked for the past two years </w:t>
      </w:r>
      <w:r w:rsidR="0050573F" w:rsidRPr="00551F9E">
        <w:rPr>
          <w:lang w:eastAsia="en-US"/>
        </w:rPr>
        <w:t>to identify clients in risk areas</w:t>
      </w:r>
      <w:r w:rsidR="00B34515">
        <w:rPr>
          <w:lang w:eastAsia="en-US"/>
        </w:rPr>
        <w:t xml:space="preserve"> ahead of the fire season</w:t>
      </w:r>
      <w:r w:rsidR="0050573F" w:rsidRPr="00551F9E">
        <w:rPr>
          <w:lang w:eastAsia="en-US"/>
        </w:rPr>
        <w:t>.</w:t>
      </w:r>
      <w:r w:rsidR="00A60405">
        <w:rPr>
          <w:lang w:eastAsia="en-US"/>
        </w:rPr>
        <w:t xml:space="preserve"> </w:t>
      </w:r>
      <w:r w:rsidR="0050573F" w:rsidRPr="00551F9E">
        <w:rPr>
          <w:lang w:eastAsia="en-US"/>
        </w:rPr>
        <w:t>The register records what assistance people would need to leave if they had to</w:t>
      </w:r>
      <w:r w:rsidR="004C74B5">
        <w:rPr>
          <w:lang w:eastAsia="en-US"/>
        </w:rPr>
        <w:t xml:space="preserve"> so</w:t>
      </w:r>
      <w:r w:rsidR="0050573F" w:rsidRPr="00551F9E">
        <w:rPr>
          <w:lang w:eastAsia="en-US"/>
        </w:rPr>
        <w:t xml:space="preserve"> if a person needs to be evacuated</w:t>
      </w:r>
      <w:r w:rsidR="004C74B5">
        <w:rPr>
          <w:lang w:eastAsia="en-US"/>
        </w:rPr>
        <w:t xml:space="preserve"> in an emergency</w:t>
      </w:r>
      <w:r w:rsidR="0050573F" w:rsidRPr="00551F9E">
        <w:rPr>
          <w:lang w:eastAsia="en-US"/>
        </w:rPr>
        <w:t xml:space="preserve"> then emergency services should enact that</w:t>
      </w:r>
      <w:r w:rsidR="00972D96">
        <w:rPr>
          <w:lang w:eastAsia="en-US"/>
        </w:rPr>
        <w:t>.</w:t>
      </w:r>
      <w:r w:rsidR="00FD3BD4">
        <w:rPr>
          <w:lang w:eastAsia="en-US"/>
        </w:rPr>
        <w:t xml:space="preserve"> OPA hopes a similar practice is replicated across all Australian jurisdictions.</w:t>
      </w:r>
    </w:p>
    <w:p w14:paraId="5943A8B4" w14:textId="77777777" w:rsidR="00516529" w:rsidRDefault="00516529" w:rsidP="00901B28">
      <w:pPr>
        <w:pStyle w:val="Heading2OPA"/>
        <w:numPr>
          <w:ilvl w:val="1"/>
          <w:numId w:val="16"/>
        </w:numPr>
        <w:spacing w:line="276" w:lineRule="auto"/>
        <w:ind w:left="709" w:hanging="709"/>
      </w:pPr>
      <w:bookmarkStart w:id="28" w:name="_Toc46949145"/>
      <w:r>
        <w:t>I</w:t>
      </w:r>
      <w:r w:rsidR="004357C0">
        <w:t>nvestigations</w:t>
      </w:r>
      <w:bookmarkEnd w:id="28"/>
    </w:p>
    <w:p w14:paraId="2529CEAA" w14:textId="7360B34D" w:rsidR="000A25CC" w:rsidRDefault="007267FF" w:rsidP="007A6A1D">
      <w:pPr>
        <w:spacing w:line="276" w:lineRule="auto"/>
        <w:ind w:left="709"/>
        <w:rPr>
          <w:lang w:eastAsia="en-US"/>
        </w:rPr>
      </w:pPr>
      <w:r>
        <w:t>VCAT may refer a matter for investigation to OPA where VCAT considers it has insufficient information for the member to make a decision on how to proceed. These matters are dealt with by OPA’s Investigations team.</w:t>
      </w:r>
      <w:r w:rsidR="007A6A1D">
        <w:t xml:space="preserve"> </w:t>
      </w:r>
      <w:r w:rsidR="00E4793E">
        <w:rPr>
          <w:lang w:eastAsia="en-US"/>
        </w:rPr>
        <w:t>During the pandemic</w:t>
      </w:r>
      <w:r w:rsidR="00D276FF">
        <w:rPr>
          <w:lang w:eastAsia="en-US"/>
        </w:rPr>
        <w:t>, th</w:t>
      </w:r>
      <w:r w:rsidR="00423531">
        <w:rPr>
          <w:lang w:eastAsia="en-US"/>
        </w:rPr>
        <w:t xml:space="preserve">ere has been more demand for this </w:t>
      </w:r>
      <w:r w:rsidR="00D276FF">
        <w:rPr>
          <w:lang w:eastAsia="en-US"/>
        </w:rPr>
        <w:t>role as</w:t>
      </w:r>
      <w:r w:rsidR="00443693">
        <w:rPr>
          <w:lang w:eastAsia="en-US"/>
        </w:rPr>
        <w:t xml:space="preserve"> the</w:t>
      </w:r>
      <w:r w:rsidR="00D276FF">
        <w:rPr>
          <w:lang w:eastAsia="en-US"/>
        </w:rPr>
        <w:t xml:space="preserve"> VCAT </w:t>
      </w:r>
      <w:r w:rsidR="00443693">
        <w:rPr>
          <w:lang w:eastAsia="en-US"/>
        </w:rPr>
        <w:t xml:space="preserve">member </w:t>
      </w:r>
      <w:r w:rsidR="009A4C61">
        <w:rPr>
          <w:lang w:eastAsia="en-US"/>
        </w:rPr>
        <w:t>has had more difficulty in getting the in</w:t>
      </w:r>
      <w:r w:rsidR="00E63BF1">
        <w:rPr>
          <w:lang w:eastAsia="en-US"/>
        </w:rPr>
        <w:t xml:space="preserve">formation </w:t>
      </w:r>
      <w:r w:rsidR="00443693">
        <w:rPr>
          <w:lang w:eastAsia="en-US"/>
        </w:rPr>
        <w:t>they</w:t>
      </w:r>
      <w:r w:rsidR="00E63BF1">
        <w:rPr>
          <w:lang w:eastAsia="en-US"/>
        </w:rPr>
        <w:t xml:space="preserve"> need </w:t>
      </w:r>
      <w:r w:rsidR="00952AAF">
        <w:rPr>
          <w:lang w:eastAsia="en-US"/>
        </w:rPr>
        <w:t>during</w:t>
      </w:r>
      <w:r w:rsidR="00E63BF1">
        <w:rPr>
          <w:lang w:eastAsia="en-US"/>
        </w:rPr>
        <w:t xml:space="preserve"> the </w:t>
      </w:r>
      <w:r w:rsidR="00952AAF">
        <w:rPr>
          <w:lang w:eastAsia="en-US"/>
        </w:rPr>
        <w:t xml:space="preserve">normal </w:t>
      </w:r>
      <w:r w:rsidR="00E63BF1">
        <w:rPr>
          <w:lang w:eastAsia="en-US"/>
        </w:rPr>
        <w:t xml:space="preserve">course of </w:t>
      </w:r>
      <w:r w:rsidR="00443693">
        <w:rPr>
          <w:lang w:eastAsia="en-US"/>
        </w:rPr>
        <w:t xml:space="preserve">a hearing: </w:t>
      </w:r>
      <w:r w:rsidR="00FE3C75">
        <w:rPr>
          <w:lang w:eastAsia="en-US"/>
        </w:rPr>
        <w:t>difficulties reaching interested parties</w:t>
      </w:r>
      <w:r w:rsidR="00647678">
        <w:rPr>
          <w:lang w:eastAsia="en-US"/>
        </w:rPr>
        <w:t xml:space="preserve"> and other technological hurdles</w:t>
      </w:r>
      <w:r w:rsidR="000B79B4">
        <w:rPr>
          <w:lang w:eastAsia="en-US"/>
        </w:rPr>
        <w:t xml:space="preserve">, and the added confusion of telephone hearings </w:t>
      </w:r>
      <w:r w:rsidR="00615FFB">
        <w:rPr>
          <w:lang w:eastAsia="en-US"/>
        </w:rPr>
        <w:t xml:space="preserve">discussed above </w:t>
      </w:r>
      <w:r w:rsidR="000B79B4">
        <w:rPr>
          <w:lang w:eastAsia="en-US"/>
        </w:rPr>
        <w:t>all contribute to this.</w:t>
      </w:r>
    </w:p>
    <w:p w14:paraId="5D592F64" w14:textId="449AEDF1" w:rsidR="00026068" w:rsidRPr="002E2947" w:rsidRDefault="00026068" w:rsidP="00516529">
      <w:pPr>
        <w:spacing w:line="276" w:lineRule="auto"/>
        <w:ind w:left="709"/>
        <w:rPr>
          <w:lang w:eastAsia="en-US"/>
        </w:rPr>
      </w:pPr>
      <w:r>
        <w:rPr>
          <w:lang w:eastAsia="en-US"/>
        </w:rPr>
        <w:lastRenderedPageBreak/>
        <w:t xml:space="preserve">This highlights the difficulties seen across </w:t>
      </w:r>
      <w:r w:rsidR="009441B7">
        <w:rPr>
          <w:lang w:eastAsia="en-US"/>
        </w:rPr>
        <w:t xml:space="preserve">OPA and other safeguarding organisations in relation to </w:t>
      </w:r>
      <w:r w:rsidR="00B052E6">
        <w:rPr>
          <w:lang w:eastAsia="en-US"/>
        </w:rPr>
        <w:t>information flows</w:t>
      </w:r>
      <w:r>
        <w:rPr>
          <w:lang w:eastAsia="en-US"/>
        </w:rPr>
        <w:t xml:space="preserve"> </w:t>
      </w:r>
      <w:r w:rsidR="00B052E6">
        <w:rPr>
          <w:lang w:eastAsia="en-US"/>
        </w:rPr>
        <w:t xml:space="preserve">from and to people with </w:t>
      </w:r>
      <w:r w:rsidR="00852614">
        <w:rPr>
          <w:lang w:eastAsia="en-US"/>
        </w:rPr>
        <w:t>cognitive impairment</w:t>
      </w:r>
      <w:r w:rsidR="00672BAA">
        <w:rPr>
          <w:lang w:eastAsia="en-US"/>
        </w:rPr>
        <w:t xml:space="preserve"> which are further exacerbated by limits on face-to-face contact.</w:t>
      </w:r>
    </w:p>
    <w:p w14:paraId="539E8738" w14:textId="4BF5E165" w:rsidR="001C1379" w:rsidRDefault="00050199" w:rsidP="001C1379">
      <w:pPr>
        <w:pStyle w:val="Heading2OPA"/>
        <w:numPr>
          <w:ilvl w:val="1"/>
          <w:numId w:val="16"/>
        </w:numPr>
        <w:spacing w:line="276" w:lineRule="auto"/>
        <w:ind w:left="709" w:hanging="709"/>
      </w:pPr>
      <w:bookmarkStart w:id="29" w:name="_Toc46949146"/>
      <w:r>
        <w:t>M</w:t>
      </w:r>
      <w:r w:rsidR="004357C0">
        <w:t>edical treatment decisions</w:t>
      </w:r>
      <w:bookmarkEnd w:id="29"/>
    </w:p>
    <w:p w14:paraId="04FA6F06" w14:textId="32DF6364" w:rsidR="00E64F08" w:rsidRDefault="00633E80" w:rsidP="00633E80">
      <w:pPr>
        <w:spacing w:line="276" w:lineRule="auto"/>
        <w:ind w:left="709"/>
        <w:rPr>
          <w:lang w:eastAsia="en-US"/>
        </w:rPr>
      </w:pPr>
      <w:r>
        <w:rPr>
          <w:lang w:eastAsia="en-US"/>
        </w:rPr>
        <w:t xml:space="preserve">With fewer </w:t>
      </w:r>
      <w:r w:rsidR="004C621E">
        <w:rPr>
          <w:lang w:eastAsia="en-US"/>
        </w:rPr>
        <w:t>people attending health care settings and hospitals for non-emergency reasons</w:t>
      </w:r>
      <w:r w:rsidR="009112DD">
        <w:rPr>
          <w:lang w:eastAsia="en-US"/>
        </w:rPr>
        <w:t>, this team had fewer matters to consider during the pandemic</w:t>
      </w:r>
      <w:r w:rsidR="00D115E5">
        <w:rPr>
          <w:lang w:eastAsia="en-US"/>
        </w:rPr>
        <w:t xml:space="preserve">. During this period they worked with the legal team to </w:t>
      </w:r>
      <w:r w:rsidR="00ED42C5">
        <w:rPr>
          <w:lang w:eastAsia="en-US"/>
        </w:rPr>
        <w:t>develop</w:t>
      </w:r>
      <w:r w:rsidR="00771D32">
        <w:rPr>
          <w:lang w:eastAsia="en-US"/>
        </w:rPr>
        <w:t xml:space="preserve"> </w:t>
      </w:r>
      <w:r w:rsidR="009B2B36">
        <w:rPr>
          <w:lang w:eastAsia="en-US"/>
        </w:rPr>
        <w:t xml:space="preserve">guidance on </w:t>
      </w:r>
      <w:r w:rsidR="0098365D">
        <w:rPr>
          <w:lang w:eastAsia="en-US"/>
        </w:rPr>
        <w:t>consent laws, especially consent around COVID-19 related testing under different circumstances.</w:t>
      </w:r>
    </w:p>
    <w:p w14:paraId="3EF4CE4B" w14:textId="15836646" w:rsidR="00643179" w:rsidRDefault="00643179" w:rsidP="00633E80">
      <w:pPr>
        <w:spacing w:line="276" w:lineRule="auto"/>
        <w:ind w:left="709"/>
        <w:rPr>
          <w:lang w:eastAsia="en-US"/>
        </w:rPr>
      </w:pPr>
      <w:r>
        <w:rPr>
          <w:lang w:eastAsia="en-US"/>
        </w:rPr>
        <w:t xml:space="preserve">OPA is concerned that consent laws may </w:t>
      </w:r>
      <w:r w:rsidR="00232C45">
        <w:rPr>
          <w:lang w:eastAsia="en-US"/>
        </w:rPr>
        <w:t xml:space="preserve">be disregarded during the </w:t>
      </w:r>
      <w:r w:rsidR="00026338">
        <w:rPr>
          <w:lang w:eastAsia="en-US"/>
        </w:rPr>
        <w:t xml:space="preserve">perceived time </w:t>
      </w:r>
      <w:r w:rsidR="00232C45">
        <w:rPr>
          <w:lang w:eastAsia="en-US"/>
        </w:rPr>
        <w:t>pressures and fears of a public health emergency</w:t>
      </w:r>
      <w:r w:rsidR="00481561">
        <w:rPr>
          <w:lang w:eastAsia="en-US"/>
        </w:rPr>
        <w:t xml:space="preserve">. For example, OPA is aware of forms going out to </w:t>
      </w:r>
      <w:r w:rsidR="00C175A3">
        <w:rPr>
          <w:lang w:eastAsia="en-US"/>
        </w:rPr>
        <w:t xml:space="preserve">supporters and substitute decision-makers of people living in aged care facilities that seek pre-emptive consent for </w:t>
      </w:r>
      <w:r w:rsidR="00D853E2">
        <w:rPr>
          <w:lang w:eastAsia="en-US"/>
        </w:rPr>
        <w:t>coronavirus</w:t>
      </w:r>
      <w:r w:rsidR="00C175A3">
        <w:rPr>
          <w:lang w:eastAsia="en-US"/>
        </w:rPr>
        <w:t xml:space="preserve"> testing</w:t>
      </w:r>
      <w:r w:rsidR="00D853E2">
        <w:rPr>
          <w:lang w:eastAsia="en-US"/>
        </w:rPr>
        <w:t xml:space="preserve">. </w:t>
      </w:r>
      <w:r w:rsidR="00AD35A7">
        <w:rPr>
          <w:lang w:eastAsia="en-US"/>
        </w:rPr>
        <w:t>These forms do not meet legislative requirements around medical decision making and consent.</w:t>
      </w:r>
    </w:p>
    <w:p w14:paraId="6CF73C95" w14:textId="6CEA7214" w:rsidR="00875824" w:rsidRDefault="00875824" w:rsidP="00633E80">
      <w:pPr>
        <w:spacing w:line="276" w:lineRule="auto"/>
        <w:ind w:left="709"/>
        <w:rPr>
          <w:lang w:eastAsia="en-US"/>
        </w:rPr>
      </w:pPr>
      <w:r>
        <w:rPr>
          <w:lang w:eastAsia="en-US"/>
        </w:rPr>
        <w:t xml:space="preserve">One thing noted by </w:t>
      </w:r>
      <w:r w:rsidR="00CC007F">
        <w:rPr>
          <w:lang w:eastAsia="en-US"/>
        </w:rPr>
        <w:t>OPA’s Medical Treatment Decisions</w:t>
      </w:r>
      <w:r>
        <w:rPr>
          <w:lang w:eastAsia="en-US"/>
        </w:rPr>
        <w:t xml:space="preserve"> team during the </w:t>
      </w:r>
      <w:r w:rsidR="00374CA8">
        <w:rPr>
          <w:lang w:eastAsia="en-US"/>
        </w:rPr>
        <w:t xml:space="preserve">few </w:t>
      </w:r>
      <w:r w:rsidR="00086C3C">
        <w:rPr>
          <w:lang w:eastAsia="en-US"/>
        </w:rPr>
        <w:t xml:space="preserve">weeks Melbourne spent out of ‘lockdown’ </w:t>
      </w:r>
      <w:r w:rsidR="00791E13">
        <w:rPr>
          <w:lang w:eastAsia="en-US"/>
        </w:rPr>
        <w:t>between</w:t>
      </w:r>
      <w:r w:rsidR="00086C3C">
        <w:rPr>
          <w:lang w:eastAsia="en-US"/>
        </w:rPr>
        <w:t xml:space="preserve"> </w:t>
      </w:r>
      <w:r w:rsidR="00F50B8F">
        <w:rPr>
          <w:lang w:eastAsia="en-US"/>
        </w:rPr>
        <w:t xml:space="preserve">the start of </w:t>
      </w:r>
      <w:r w:rsidR="00791E13">
        <w:rPr>
          <w:lang w:eastAsia="en-US"/>
        </w:rPr>
        <w:t xml:space="preserve">April 2020 and </w:t>
      </w:r>
      <w:r w:rsidR="00374CA8">
        <w:rPr>
          <w:lang w:eastAsia="en-US"/>
        </w:rPr>
        <w:t>the end of July 2020</w:t>
      </w:r>
      <w:r w:rsidR="00A537E5">
        <w:rPr>
          <w:lang w:eastAsia="en-US"/>
        </w:rPr>
        <w:t>, was the rise in</w:t>
      </w:r>
      <w:r w:rsidR="009B0F4B">
        <w:rPr>
          <w:lang w:eastAsia="en-US"/>
        </w:rPr>
        <w:t xml:space="preserve"> the number of</w:t>
      </w:r>
      <w:r w:rsidR="00A537E5">
        <w:rPr>
          <w:lang w:eastAsia="en-US"/>
        </w:rPr>
        <w:t xml:space="preserve"> </w:t>
      </w:r>
      <w:r w:rsidR="00CA4C3F">
        <w:rPr>
          <w:lang w:eastAsia="en-US"/>
        </w:rPr>
        <w:t>urgent and e</w:t>
      </w:r>
      <w:r w:rsidR="00A537E5">
        <w:rPr>
          <w:lang w:eastAsia="en-US"/>
        </w:rPr>
        <w:t>mergency health matters</w:t>
      </w:r>
      <w:r w:rsidR="00561EB8">
        <w:rPr>
          <w:lang w:eastAsia="en-US"/>
        </w:rPr>
        <w:t xml:space="preserve"> during this time. With people avoiding attending </w:t>
      </w:r>
      <w:r w:rsidR="00E20B50">
        <w:rPr>
          <w:lang w:eastAsia="en-US"/>
        </w:rPr>
        <w:t>health care setting to ‘make room’ for people with COVID-19</w:t>
      </w:r>
      <w:r w:rsidR="007F7DFF">
        <w:rPr>
          <w:lang w:eastAsia="en-US"/>
        </w:rPr>
        <w:t xml:space="preserve">, it is very likely that less timely diagnoses occurred and </w:t>
      </w:r>
      <w:r w:rsidR="00CA4C3F">
        <w:rPr>
          <w:lang w:eastAsia="en-US"/>
        </w:rPr>
        <w:t xml:space="preserve">directly </w:t>
      </w:r>
      <w:r w:rsidR="007F7DFF">
        <w:rPr>
          <w:lang w:eastAsia="en-US"/>
        </w:rPr>
        <w:t>precipitated this growth in urgent medical procedures and decisions.</w:t>
      </w:r>
      <w:r w:rsidR="00FD3BD4">
        <w:rPr>
          <w:lang w:eastAsia="en-US"/>
        </w:rPr>
        <w:t xml:space="preserve"> OPA notes public statements were made on this matter as the pandemic progressed and the above evidence came to light. </w:t>
      </w:r>
    </w:p>
    <w:p w14:paraId="1FE30462" w14:textId="5C19F4A2" w:rsidR="001A7199" w:rsidRPr="00194A3C" w:rsidRDefault="001A7199" w:rsidP="001A7199">
      <w:pPr>
        <w:spacing w:line="276" w:lineRule="auto"/>
        <w:ind w:left="709"/>
        <w:rPr>
          <w:b/>
          <w:bCs/>
          <w:lang w:eastAsia="en-US"/>
        </w:rPr>
      </w:pPr>
      <w:r w:rsidRPr="00194A3C">
        <w:rPr>
          <w:b/>
          <w:bCs/>
          <w:lang w:eastAsia="en-US"/>
        </w:rPr>
        <w:t>Recommendation 1</w:t>
      </w:r>
      <w:r w:rsidR="008D2C23">
        <w:rPr>
          <w:b/>
          <w:bCs/>
          <w:lang w:eastAsia="en-US"/>
        </w:rPr>
        <w:t>5</w:t>
      </w:r>
    </w:p>
    <w:p w14:paraId="632BE7C9" w14:textId="77777777" w:rsidR="001A7199" w:rsidRPr="00194A3C" w:rsidRDefault="001A7199" w:rsidP="001A7199">
      <w:pPr>
        <w:spacing w:line="276" w:lineRule="auto"/>
        <w:ind w:left="709"/>
        <w:rPr>
          <w:b/>
          <w:bCs/>
          <w:lang w:eastAsia="en-US"/>
        </w:rPr>
      </w:pPr>
      <w:r w:rsidRPr="00194A3C">
        <w:rPr>
          <w:b/>
          <w:bCs/>
          <w:lang w:eastAsia="en-US"/>
        </w:rPr>
        <w:t>During a long-running public emergency, Australian, state and territory health departments should communicate to the public the importance of monitoring and responding to their non-pandemic related health concerns in a timely manner.</w:t>
      </w:r>
    </w:p>
    <w:p w14:paraId="11308B26" w14:textId="15E181DB" w:rsidR="00BB705D" w:rsidRDefault="00BB705D" w:rsidP="00901B28">
      <w:pPr>
        <w:pStyle w:val="Heading2OPA"/>
        <w:numPr>
          <w:ilvl w:val="1"/>
          <w:numId w:val="16"/>
        </w:numPr>
        <w:spacing w:line="276" w:lineRule="auto"/>
        <w:ind w:left="709" w:hanging="709"/>
      </w:pPr>
      <w:bookmarkStart w:id="30" w:name="_Toc46949147"/>
      <w:r>
        <w:t xml:space="preserve">OPA </w:t>
      </w:r>
      <w:r w:rsidR="00FB0EFA">
        <w:t>Volunteer Programs</w:t>
      </w:r>
      <w:bookmarkEnd w:id="30"/>
    </w:p>
    <w:p w14:paraId="7B57AE10" w14:textId="15793CC3" w:rsidR="0015603F" w:rsidRDefault="00EA3E73" w:rsidP="0015603F">
      <w:pPr>
        <w:spacing w:line="276" w:lineRule="auto"/>
        <w:ind w:left="709"/>
      </w:pPr>
      <w:r>
        <w:t xml:space="preserve">The experiences of OPA’s </w:t>
      </w:r>
      <w:r w:rsidR="00BB09E0">
        <w:t xml:space="preserve">various volunteer programs </w:t>
      </w:r>
      <w:r w:rsidR="00C20958">
        <w:t>have informed many of the issues raised already in this submission</w:t>
      </w:r>
      <w:r w:rsidR="00803F64">
        <w:t xml:space="preserve">: </w:t>
      </w:r>
      <w:r w:rsidR="0017462A">
        <w:t xml:space="preserve">including </w:t>
      </w:r>
      <w:r w:rsidR="00803F64">
        <w:t xml:space="preserve">‘front door’ problems and </w:t>
      </w:r>
      <w:r w:rsidR="0017462A">
        <w:t>the particular vulnerability of people living in congregate care settings during a pandemic.</w:t>
      </w:r>
      <w:r w:rsidR="00875C5B">
        <w:t xml:space="preserve"> This section seeks to highlight </w:t>
      </w:r>
      <w:r w:rsidR="00D536F5">
        <w:t xml:space="preserve">the safeguarding challenges </w:t>
      </w:r>
      <w:r w:rsidR="004A089A">
        <w:t xml:space="preserve">that have arisen during the pandemic </w:t>
      </w:r>
      <w:r w:rsidR="00D536F5">
        <w:t xml:space="preserve">and </w:t>
      </w:r>
      <w:r w:rsidR="00143E5A">
        <w:t xml:space="preserve">how the </w:t>
      </w:r>
      <w:r w:rsidR="00C30F1D">
        <w:t xml:space="preserve">programs have </w:t>
      </w:r>
      <w:r w:rsidR="00D536F5">
        <w:t>respon</w:t>
      </w:r>
      <w:r w:rsidR="00C30F1D">
        <w:t>ded</w:t>
      </w:r>
      <w:r w:rsidR="00D536F5">
        <w:t>.</w:t>
      </w:r>
    </w:p>
    <w:p w14:paraId="671CB82A" w14:textId="4ABE53B1" w:rsidR="00C30F1D" w:rsidRDefault="00EF2C80" w:rsidP="0015603F">
      <w:pPr>
        <w:spacing w:line="276" w:lineRule="auto"/>
        <w:ind w:left="709"/>
      </w:pPr>
      <w:r>
        <w:t xml:space="preserve">Before </w:t>
      </w:r>
      <w:r w:rsidR="00D72DCD">
        <w:t>discussing</w:t>
      </w:r>
      <w:r>
        <w:t xml:space="preserve"> how the program sought to meet these challenges </w:t>
      </w:r>
      <w:r w:rsidR="00162A0A">
        <w:t>OPA starts by acknowledging that t</w:t>
      </w:r>
      <w:r w:rsidR="001D301B">
        <w:t xml:space="preserve">he majority of OPA’s volunteers are over 50 years </w:t>
      </w:r>
      <w:r w:rsidR="002402CA">
        <w:t>of age</w:t>
      </w:r>
      <w:r w:rsidR="003706A9">
        <w:t>.</w:t>
      </w:r>
      <w:r w:rsidR="00A4660D">
        <w:t xml:space="preserve"> OPA is concerned that many volunteers may </w:t>
      </w:r>
      <w:r w:rsidR="00A91591">
        <w:t>leave the program</w:t>
      </w:r>
      <w:r w:rsidR="001A197D">
        <w:t xml:space="preserve"> </w:t>
      </w:r>
      <w:r w:rsidR="00A91591">
        <w:t xml:space="preserve">as </w:t>
      </w:r>
      <w:r w:rsidR="00133FB6">
        <w:t>the risks of COVID-19 will remain in the community</w:t>
      </w:r>
      <w:r w:rsidR="00524EEE">
        <w:t xml:space="preserve"> until </w:t>
      </w:r>
      <w:r w:rsidR="00133FB6">
        <w:t xml:space="preserve">the development </w:t>
      </w:r>
      <w:r w:rsidR="00524EEE">
        <w:t xml:space="preserve">and distribution </w:t>
      </w:r>
      <w:r w:rsidR="00133FB6">
        <w:t xml:space="preserve">of a vaccine </w:t>
      </w:r>
      <w:r w:rsidR="00524EEE">
        <w:t>(</w:t>
      </w:r>
      <w:r w:rsidR="00133FB6">
        <w:t>or effective treatment</w:t>
      </w:r>
      <w:r w:rsidR="00524EEE">
        <w:t>)</w:t>
      </w:r>
      <w:r w:rsidR="00896E8E">
        <w:t xml:space="preserve">. </w:t>
      </w:r>
      <w:r w:rsidR="009D76D4">
        <w:t xml:space="preserve">This </w:t>
      </w:r>
      <w:r w:rsidR="00617E2D">
        <w:t>will be</w:t>
      </w:r>
      <w:r w:rsidR="009D76D4">
        <w:t xml:space="preserve"> an issue for all safeguarding programs that rely on volunteers</w:t>
      </w:r>
      <w:r w:rsidR="00617E2D">
        <w:t>.</w:t>
      </w:r>
    </w:p>
    <w:p w14:paraId="139A2403" w14:textId="1F321640" w:rsidR="00617E2D" w:rsidRDefault="00811663" w:rsidP="0015603F">
      <w:pPr>
        <w:spacing w:line="276" w:lineRule="auto"/>
        <w:ind w:left="709"/>
      </w:pPr>
      <w:r>
        <w:t xml:space="preserve">OPA programs have </w:t>
      </w:r>
      <w:r w:rsidR="00703E25">
        <w:t>pro-actively sought alternative safeguarding arrangements</w:t>
      </w:r>
      <w:r w:rsidR="008B120C">
        <w:t>. The Community Visitors Program trialled</w:t>
      </w:r>
      <w:r w:rsidR="0028735B">
        <w:t xml:space="preserve"> and implemented a process for </w:t>
      </w:r>
      <w:r w:rsidR="008B120C">
        <w:t>telephone visits to Supported Residential Services</w:t>
      </w:r>
      <w:r w:rsidR="000B39C3">
        <w:t xml:space="preserve"> (the settings which have been of significant concern during the pandemic)</w:t>
      </w:r>
      <w:r w:rsidR="00C31440">
        <w:t xml:space="preserve"> and </w:t>
      </w:r>
      <w:r w:rsidR="007C6944">
        <w:t>have also commenced</w:t>
      </w:r>
      <w:r w:rsidR="00C31440" w:rsidRPr="003C7B87">
        <w:rPr>
          <w:color w:val="FF0000"/>
        </w:rPr>
        <w:t xml:space="preserve"> </w:t>
      </w:r>
      <w:r w:rsidR="00C31440">
        <w:t>video</w:t>
      </w:r>
      <w:r w:rsidR="00D876BE">
        <w:t xml:space="preserve"> visits with disability residential services and eligible Specialist Disability Accommodation settings</w:t>
      </w:r>
      <w:r w:rsidR="00F44559">
        <w:t xml:space="preserve">. Both of these initiatives have involved </w:t>
      </w:r>
      <w:r w:rsidR="00425B80">
        <w:t xml:space="preserve">huge logistical challenges and </w:t>
      </w:r>
      <w:r w:rsidR="00F44559">
        <w:t xml:space="preserve">rapid </w:t>
      </w:r>
      <w:r w:rsidR="00425B80">
        <w:t xml:space="preserve">upskilling of staff and volunteers </w:t>
      </w:r>
      <w:r w:rsidR="003736BE">
        <w:t xml:space="preserve">who have </w:t>
      </w:r>
      <w:r w:rsidR="003736BE">
        <w:lastRenderedPageBreak/>
        <w:t>previously worked face-to-face</w:t>
      </w:r>
      <w:r w:rsidR="00FF0B62">
        <w:t xml:space="preserve"> and predominantly with paper reports.</w:t>
      </w:r>
      <w:r w:rsidR="00E95336">
        <w:t xml:space="preserve"> </w:t>
      </w:r>
      <w:r w:rsidR="000B0547" w:rsidRPr="00301A53">
        <w:t xml:space="preserve">The learnings gathered by remote safeguarding </w:t>
      </w:r>
      <w:r w:rsidR="004F6945">
        <w:t xml:space="preserve">(across all OPA program areas) </w:t>
      </w:r>
      <w:r w:rsidR="000B0547" w:rsidRPr="00301A53">
        <w:t xml:space="preserve">during the pandemic will work well to supplement face-to-face visits when they are reinstated.  </w:t>
      </w:r>
    </w:p>
    <w:p w14:paraId="3C74A354" w14:textId="01725A42" w:rsidR="001A7199" w:rsidRPr="00194A3C" w:rsidRDefault="001A7199" w:rsidP="001A7199">
      <w:pPr>
        <w:spacing w:line="276" w:lineRule="auto"/>
        <w:ind w:left="709"/>
        <w:rPr>
          <w:b/>
          <w:bCs/>
        </w:rPr>
      </w:pPr>
      <w:r w:rsidRPr="00194A3C">
        <w:rPr>
          <w:b/>
          <w:bCs/>
        </w:rPr>
        <w:t>Recommendation 1</w:t>
      </w:r>
      <w:r w:rsidR="008D2C23">
        <w:rPr>
          <w:b/>
          <w:bCs/>
        </w:rPr>
        <w:t>6</w:t>
      </w:r>
    </w:p>
    <w:p w14:paraId="61AAB032" w14:textId="77777777" w:rsidR="001A7199" w:rsidRPr="00194A3C" w:rsidRDefault="001A7199" w:rsidP="001A7199">
      <w:pPr>
        <w:spacing w:line="276" w:lineRule="auto"/>
        <w:ind w:left="709"/>
        <w:rPr>
          <w:b/>
          <w:bCs/>
        </w:rPr>
      </w:pPr>
      <w:r w:rsidRPr="00194A3C">
        <w:rPr>
          <w:b/>
          <w:bCs/>
        </w:rPr>
        <w:t xml:space="preserve">State and Territory Governments and the NDIS Quality and Safeguards Commission should work collaboratively to explore how safeguards for residents in congregate care can be supplemented during long-running public health emergencies. </w:t>
      </w:r>
    </w:p>
    <w:p w14:paraId="023DFE2B" w14:textId="2690D18C" w:rsidR="001E0AAD" w:rsidRDefault="00360103" w:rsidP="0015603F">
      <w:pPr>
        <w:spacing w:line="276" w:lineRule="auto"/>
        <w:ind w:left="709"/>
      </w:pPr>
      <w:r>
        <w:t xml:space="preserve">The Commission may be interested to learn about </w:t>
      </w:r>
      <w:r w:rsidR="00CC4882">
        <w:t xml:space="preserve">the very different experiences of </w:t>
      </w:r>
      <w:r w:rsidR="00E17672">
        <w:t xml:space="preserve">two of </w:t>
      </w:r>
      <w:r w:rsidR="00CC4882">
        <w:t xml:space="preserve">OPA’s </w:t>
      </w:r>
      <w:r w:rsidR="00E17672">
        <w:t>justice related volunteer programs</w:t>
      </w:r>
      <w:r w:rsidR="00F02D37">
        <w:t xml:space="preserve"> during the pandemic</w:t>
      </w:r>
      <w:r w:rsidR="00E17672">
        <w:t xml:space="preserve">: the </w:t>
      </w:r>
      <w:r w:rsidR="00CC4882">
        <w:t xml:space="preserve">Independent Third Person </w:t>
      </w:r>
      <w:r w:rsidR="00912B44">
        <w:t xml:space="preserve">(ITP) </w:t>
      </w:r>
      <w:r w:rsidR="00CC4882">
        <w:t xml:space="preserve">program and </w:t>
      </w:r>
      <w:r w:rsidR="00E17672">
        <w:t>the</w:t>
      </w:r>
      <w:r w:rsidR="00CC4882">
        <w:t xml:space="preserve"> </w:t>
      </w:r>
      <w:r w:rsidR="00444AC0">
        <w:t>C</w:t>
      </w:r>
      <w:r w:rsidR="004A24CF">
        <w:t xml:space="preserve">orrections </w:t>
      </w:r>
      <w:r w:rsidR="00444AC0">
        <w:t>I</w:t>
      </w:r>
      <w:r w:rsidR="004A24CF">
        <w:t xml:space="preserve">ndependent </w:t>
      </w:r>
      <w:r w:rsidR="00444AC0">
        <w:t>S</w:t>
      </w:r>
      <w:r w:rsidR="004A24CF">
        <w:t xml:space="preserve">upport </w:t>
      </w:r>
      <w:r w:rsidR="00444AC0">
        <w:t>O</w:t>
      </w:r>
      <w:r w:rsidR="004A24CF">
        <w:t>fficers (CISO)</w:t>
      </w:r>
      <w:r w:rsidR="00444AC0">
        <w:t xml:space="preserve"> program</w:t>
      </w:r>
      <w:r w:rsidR="00F02D37">
        <w:t xml:space="preserve">. </w:t>
      </w:r>
      <w:r w:rsidR="003661BE">
        <w:t>The ITP pro</w:t>
      </w:r>
      <w:r w:rsidR="003575C1">
        <w:t>gram, which involves volunteers supporting people with disability in police interviews</w:t>
      </w:r>
      <w:r w:rsidR="00A87ECC">
        <w:t xml:space="preserve">, </w:t>
      </w:r>
      <w:r w:rsidR="00BC099E">
        <w:t xml:space="preserve">was </w:t>
      </w:r>
      <w:r w:rsidR="007F4770">
        <w:t>providing over-the-phone support</w:t>
      </w:r>
      <w:r w:rsidR="009114CE">
        <w:t xml:space="preserve"> within 72 hours of ceasing face-to-face attendance at interviews</w:t>
      </w:r>
      <w:r w:rsidR="00095B45">
        <w:t xml:space="preserve">. Program staff report that </w:t>
      </w:r>
      <w:r w:rsidR="009C365D">
        <w:t xml:space="preserve">police were actively encouraging them to come up with a way to continue </w:t>
      </w:r>
      <w:r w:rsidR="00C32FC3">
        <w:t>their rights safeguarding functions following the program’s decision to stop face-to-face attendance due to virus transmission risks.</w:t>
      </w:r>
      <w:r w:rsidR="00B17A54">
        <w:t xml:space="preserve"> OPA </w:t>
      </w:r>
      <w:r w:rsidR="00813821">
        <w:t>highlights</w:t>
      </w:r>
      <w:r w:rsidR="00B17A54">
        <w:t xml:space="preserve"> that while the role of the ITP is not yet mandated by legislation, as we would want</w:t>
      </w:r>
      <w:r w:rsidR="0078165D">
        <w:t>, that it is referenced in Police Standing Orders</w:t>
      </w:r>
      <w:r w:rsidR="00523D44">
        <w:t xml:space="preserve">, which </w:t>
      </w:r>
      <w:r w:rsidR="00A83885">
        <w:t>likely helped establish the program as an essential procedural safeguard for people with cognitive impairment.</w:t>
      </w:r>
    </w:p>
    <w:p w14:paraId="4ED65552" w14:textId="01B3037F" w:rsidR="008163B3" w:rsidRDefault="008163B3" w:rsidP="0015603F">
      <w:pPr>
        <w:spacing w:line="276" w:lineRule="auto"/>
        <w:ind w:left="709"/>
      </w:pPr>
      <w:r>
        <w:t>OPA compares this experience, of pro-active police engagement with</w:t>
      </w:r>
      <w:r w:rsidR="00801C2C">
        <w:t xml:space="preserve"> ITPs and interview numbers at comparable levels</w:t>
      </w:r>
      <w:r w:rsidR="000C52C4">
        <w:t xml:space="preserve"> and station coverage</w:t>
      </w:r>
      <w:r w:rsidR="00801C2C">
        <w:t xml:space="preserve"> to pre-pandemic</w:t>
      </w:r>
      <w:r w:rsidR="000C52C4">
        <w:t>, with that of the CISO program.</w:t>
      </w:r>
    </w:p>
    <w:p w14:paraId="4B99D0D0" w14:textId="77F22960" w:rsidR="00197984" w:rsidRPr="00384A0A" w:rsidRDefault="00D73A0B" w:rsidP="0015603F">
      <w:pPr>
        <w:spacing w:line="276" w:lineRule="auto"/>
        <w:ind w:left="709"/>
      </w:pPr>
      <w:r>
        <w:t xml:space="preserve">CISO program staff contacted prisons and </w:t>
      </w:r>
      <w:r w:rsidR="00D2190B">
        <w:t xml:space="preserve">told them that a phone-based service was being offered, with an OPA staff member trained and ready to attend </w:t>
      </w:r>
      <w:r w:rsidR="00686FC8">
        <w:t>prison disciplinary hearings.</w:t>
      </w:r>
      <w:r w:rsidR="006152E3">
        <w:t xml:space="preserve"> </w:t>
      </w:r>
      <w:r w:rsidR="00822A31" w:rsidRPr="00A97A21">
        <w:rPr>
          <w:color w:val="000000" w:themeColor="text1"/>
        </w:rPr>
        <w:t xml:space="preserve">In the four months </w:t>
      </w:r>
      <w:r w:rsidR="00822A31">
        <w:t xml:space="preserve">since the program ceased </w:t>
      </w:r>
      <w:r w:rsidR="00692B43">
        <w:t>in-person services</w:t>
      </w:r>
      <w:r w:rsidR="009A2D33">
        <w:t>,</w:t>
      </w:r>
      <w:r w:rsidR="00692B43">
        <w:t xml:space="preserve"> no </w:t>
      </w:r>
      <w:r w:rsidR="00062B0A">
        <w:t xml:space="preserve">use has been made by prisons of the phone service. </w:t>
      </w:r>
      <w:r w:rsidR="001C6A15">
        <w:t>Instead, every week on Friday the program is emailed a list of all the prisoners who have declined</w:t>
      </w:r>
      <w:r w:rsidR="00B44719">
        <w:t xml:space="preserve"> a CISO.</w:t>
      </w:r>
      <w:r w:rsidR="009A27DA">
        <w:t xml:space="preserve"> </w:t>
      </w:r>
      <w:r w:rsidR="00B071E5">
        <w:t>Prior to the pandemic</w:t>
      </w:r>
      <w:r w:rsidR="00643E1E">
        <w:t xml:space="preserve">, a CISO attended one prison once a week during the </w:t>
      </w:r>
      <w:r w:rsidR="00A93DEA">
        <w:t>regular hearing times. The CISO would ask the person about to attend the hearing if they would like support and mostly the person would say yes</w:t>
      </w:r>
      <w:r w:rsidR="00ED573A">
        <w:t xml:space="preserve">. </w:t>
      </w:r>
      <w:r w:rsidR="00ED573A" w:rsidRPr="00384A0A">
        <w:t xml:space="preserve">Program staff </w:t>
      </w:r>
      <w:r w:rsidR="00F13347" w:rsidRPr="00384A0A">
        <w:t xml:space="preserve">are concerned that no one has </w:t>
      </w:r>
      <w:r w:rsidR="00DE0978" w:rsidRPr="00384A0A">
        <w:t>accepted the offer of a CISO and wonder whether the benefits of the service is being adequately explained to prisoners.</w:t>
      </w:r>
    </w:p>
    <w:p w14:paraId="202A32A6" w14:textId="643E7AF6" w:rsidR="008E1D89" w:rsidRDefault="008E1D89" w:rsidP="0015603F">
      <w:pPr>
        <w:spacing w:line="276" w:lineRule="auto"/>
        <w:ind w:left="709"/>
      </w:pPr>
      <w:r w:rsidRPr="00384A0A">
        <w:t>Unlike the ITP program</w:t>
      </w:r>
      <w:r w:rsidR="00A37BA6">
        <w:t xml:space="preserve"> which is</w:t>
      </w:r>
      <w:r w:rsidR="009C20B9">
        <w:t xml:space="preserve"> refere</w:t>
      </w:r>
      <w:r w:rsidR="00C56613">
        <w:t>nced</w:t>
      </w:r>
      <w:r w:rsidR="00A37BA6">
        <w:t xml:space="preserve"> in </w:t>
      </w:r>
      <w:r w:rsidR="009C20B9">
        <w:t>Police Standing Orders</w:t>
      </w:r>
      <w:r w:rsidRPr="00384A0A">
        <w:t xml:space="preserve">, the CISO program is not </w:t>
      </w:r>
      <w:r w:rsidR="00906CEE" w:rsidRPr="00384A0A">
        <w:t xml:space="preserve">encouraged by prison </w:t>
      </w:r>
      <w:r w:rsidR="00102096" w:rsidRPr="00384A0A">
        <w:t>operational frameworks</w:t>
      </w:r>
      <w:r w:rsidR="00384A0A" w:rsidRPr="00384A0A">
        <w:t>.</w:t>
      </w:r>
      <w:r w:rsidR="000671EE" w:rsidRPr="00384A0A">
        <w:t xml:space="preserve"> OPA suggests that </w:t>
      </w:r>
      <w:r w:rsidR="00525905" w:rsidRPr="00384A0A">
        <w:t xml:space="preserve">these examples clearly highlight the benefit of embedding safeguarding programs </w:t>
      </w:r>
      <w:r w:rsidR="00525905">
        <w:t>into policy and legislation</w:t>
      </w:r>
      <w:r w:rsidR="00A857F1">
        <w:t>, and the risks (especially during an emergency) of not doing so.</w:t>
      </w:r>
    </w:p>
    <w:p w14:paraId="0BD9072F" w14:textId="038A26B6" w:rsidR="009752C3" w:rsidRPr="00194A3C" w:rsidRDefault="009752C3" w:rsidP="009752C3">
      <w:pPr>
        <w:spacing w:line="276" w:lineRule="auto"/>
        <w:ind w:left="709"/>
        <w:rPr>
          <w:b/>
          <w:bCs/>
        </w:rPr>
      </w:pPr>
      <w:r w:rsidRPr="00194A3C">
        <w:rPr>
          <w:b/>
          <w:bCs/>
        </w:rPr>
        <w:t>Recommendation 1</w:t>
      </w:r>
      <w:r w:rsidR="008D2C23">
        <w:rPr>
          <w:b/>
          <w:bCs/>
        </w:rPr>
        <w:t>7</w:t>
      </w:r>
    </w:p>
    <w:p w14:paraId="1FF54AD3" w14:textId="77777777" w:rsidR="009752C3" w:rsidRPr="00194A3C" w:rsidRDefault="009752C3" w:rsidP="009752C3">
      <w:pPr>
        <w:spacing w:line="276" w:lineRule="auto"/>
        <w:ind w:left="709"/>
        <w:rPr>
          <w:b/>
          <w:bCs/>
        </w:rPr>
      </w:pPr>
      <w:r w:rsidRPr="00194A3C">
        <w:rPr>
          <w:b/>
          <w:bCs/>
        </w:rPr>
        <w:t>Corrections Victoria should ensure that the rights protections of the CISO program are embedded in policy and in prison contracts.</w:t>
      </w:r>
    </w:p>
    <w:p w14:paraId="072D51DE" w14:textId="08936368" w:rsidR="00F30687" w:rsidRDefault="00F30687" w:rsidP="0015603F">
      <w:pPr>
        <w:spacing w:line="276" w:lineRule="auto"/>
        <w:ind w:left="709"/>
        <w:rPr>
          <w:b/>
          <w:bCs/>
        </w:rPr>
      </w:pPr>
      <w:r>
        <w:rPr>
          <w:b/>
          <w:bCs/>
        </w:rPr>
        <w:t xml:space="preserve">Recommendation </w:t>
      </w:r>
      <w:r w:rsidR="005F3A0D">
        <w:rPr>
          <w:b/>
          <w:bCs/>
        </w:rPr>
        <w:t>1</w:t>
      </w:r>
      <w:r w:rsidR="008D2C23">
        <w:rPr>
          <w:b/>
          <w:bCs/>
        </w:rPr>
        <w:t>8</w:t>
      </w:r>
    </w:p>
    <w:p w14:paraId="48839C9A" w14:textId="4C60E001" w:rsidR="00F30687" w:rsidRDefault="00F30687" w:rsidP="0015603F">
      <w:pPr>
        <w:spacing w:line="276" w:lineRule="auto"/>
        <w:ind w:left="709"/>
        <w:rPr>
          <w:b/>
          <w:bCs/>
        </w:rPr>
      </w:pPr>
      <w:r>
        <w:rPr>
          <w:b/>
          <w:bCs/>
        </w:rPr>
        <w:t xml:space="preserve">The Commission should </w:t>
      </w:r>
      <w:r w:rsidR="001F55A8">
        <w:rPr>
          <w:b/>
          <w:bCs/>
        </w:rPr>
        <w:t>recommend that</w:t>
      </w:r>
      <w:r w:rsidR="007D6AF9">
        <w:rPr>
          <w:b/>
          <w:bCs/>
        </w:rPr>
        <w:t>,</w:t>
      </w:r>
      <w:r w:rsidR="001F55A8">
        <w:rPr>
          <w:b/>
          <w:bCs/>
        </w:rPr>
        <w:t xml:space="preserve"> </w:t>
      </w:r>
      <w:r w:rsidR="00B17AE5">
        <w:rPr>
          <w:b/>
          <w:bCs/>
        </w:rPr>
        <w:t>wherever possible</w:t>
      </w:r>
      <w:r w:rsidR="007D6AF9">
        <w:rPr>
          <w:b/>
          <w:bCs/>
        </w:rPr>
        <w:t>,</w:t>
      </w:r>
      <w:r w:rsidR="001F55A8">
        <w:rPr>
          <w:b/>
          <w:bCs/>
        </w:rPr>
        <w:t xml:space="preserve"> safeguarding programs </w:t>
      </w:r>
      <w:r w:rsidR="005901BB">
        <w:rPr>
          <w:b/>
          <w:bCs/>
        </w:rPr>
        <w:t>for people with disability be embedded in legislation</w:t>
      </w:r>
      <w:r w:rsidR="00557B5D">
        <w:rPr>
          <w:b/>
          <w:bCs/>
        </w:rPr>
        <w:t xml:space="preserve"> and government contracts</w:t>
      </w:r>
      <w:r w:rsidR="005901BB">
        <w:rPr>
          <w:b/>
          <w:bCs/>
        </w:rPr>
        <w:t>.</w:t>
      </w:r>
    </w:p>
    <w:p w14:paraId="33294D50" w14:textId="2CD905C5" w:rsidR="008E73E4" w:rsidRPr="0015603F" w:rsidRDefault="008E73E4" w:rsidP="00D72DCD">
      <w:pPr>
        <w:spacing w:line="276" w:lineRule="auto"/>
        <w:ind w:left="709"/>
      </w:pPr>
      <w:r>
        <w:lastRenderedPageBreak/>
        <w:t>OPA notes that, prior to the second Melbourne lockdown, select ITP staff were preparing to once again attend VARE interviews in-person due to the importance of these interviews in criminal justice processes and the benefits to the victim with disability of being supported in giving their evidence. This decision is an example of balancing the ‘do no harm’ principle while being aware of the adverse consequences of not attending in person.</w:t>
      </w:r>
    </w:p>
    <w:p w14:paraId="612A73D8" w14:textId="7C0D9901" w:rsidR="00BB705D" w:rsidRDefault="00BB705D" w:rsidP="00901B28">
      <w:pPr>
        <w:pStyle w:val="Heading2OPA"/>
        <w:numPr>
          <w:ilvl w:val="1"/>
          <w:numId w:val="16"/>
        </w:numPr>
        <w:spacing w:line="276" w:lineRule="auto"/>
        <w:ind w:left="709" w:hanging="709"/>
      </w:pPr>
      <w:bookmarkStart w:id="31" w:name="_Toc46949148"/>
      <w:r>
        <w:t>Dis</w:t>
      </w:r>
      <w:r w:rsidR="00E21263">
        <w:t>ability</w:t>
      </w:r>
      <w:r>
        <w:t xml:space="preserve"> Act </w:t>
      </w:r>
      <w:r w:rsidR="00E21263">
        <w:t>O</w:t>
      </w:r>
      <w:r>
        <w:t>fficers</w:t>
      </w:r>
      <w:bookmarkEnd w:id="31"/>
    </w:p>
    <w:p w14:paraId="3154C6D1" w14:textId="362E48F6" w:rsidR="00E62A1B" w:rsidRDefault="00036B9A" w:rsidP="00B22982">
      <w:pPr>
        <w:spacing w:line="276" w:lineRule="auto"/>
        <w:ind w:left="709"/>
        <w:rPr>
          <w:lang w:eastAsia="en-US"/>
        </w:rPr>
      </w:pPr>
      <w:r>
        <w:rPr>
          <w:lang w:eastAsia="en-US"/>
        </w:rPr>
        <w:t xml:space="preserve">OPA’s Disability Act Officers </w:t>
      </w:r>
      <w:r w:rsidR="004C33AB">
        <w:rPr>
          <w:lang w:eastAsia="en-US"/>
        </w:rPr>
        <w:t xml:space="preserve">have an oversight and advocacy role in </w:t>
      </w:r>
      <w:r w:rsidR="003B0D08">
        <w:rPr>
          <w:lang w:eastAsia="en-US"/>
        </w:rPr>
        <w:t>Supervised Treatment Order matters (</w:t>
      </w:r>
      <w:r w:rsidR="008B678C">
        <w:rPr>
          <w:lang w:eastAsia="en-US"/>
        </w:rPr>
        <w:t xml:space="preserve">a </w:t>
      </w:r>
      <w:r w:rsidR="003B0D08">
        <w:rPr>
          <w:lang w:eastAsia="en-US"/>
        </w:rPr>
        <w:t>civil detention scheme regulated by the Victorian Disability Act</w:t>
      </w:r>
      <w:r w:rsidR="008B678C">
        <w:rPr>
          <w:lang w:eastAsia="en-US"/>
        </w:rPr>
        <w:t xml:space="preserve"> 2006</w:t>
      </w:r>
      <w:r w:rsidR="003B0D08">
        <w:rPr>
          <w:lang w:eastAsia="en-US"/>
        </w:rPr>
        <w:t>)</w:t>
      </w:r>
      <w:r w:rsidR="008B678C">
        <w:rPr>
          <w:lang w:eastAsia="en-US"/>
        </w:rPr>
        <w:t>. While the details of these matters cannot be shared</w:t>
      </w:r>
      <w:r w:rsidR="00AC7119">
        <w:rPr>
          <w:lang w:eastAsia="en-US"/>
        </w:rPr>
        <w:t xml:space="preserve">, </w:t>
      </w:r>
      <w:r w:rsidR="009A3EF0">
        <w:rPr>
          <w:lang w:eastAsia="en-US"/>
        </w:rPr>
        <w:t xml:space="preserve">VCAT hearings for </w:t>
      </w:r>
      <w:r w:rsidR="00CF0F6F">
        <w:rPr>
          <w:lang w:eastAsia="en-US"/>
        </w:rPr>
        <w:t xml:space="preserve">reviews of </w:t>
      </w:r>
      <w:r w:rsidR="009A3EF0">
        <w:rPr>
          <w:lang w:eastAsia="en-US"/>
        </w:rPr>
        <w:t xml:space="preserve">these </w:t>
      </w:r>
      <w:r w:rsidR="00FE561B">
        <w:rPr>
          <w:lang w:eastAsia="en-US"/>
        </w:rPr>
        <w:t>matters</w:t>
      </w:r>
      <w:r w:rsidR="00CF0F6F">
        <w:rPr>
          <w:lang w:eastAsia="en-US"/>
        </w:rPr>
        <w:t xml:space="preserve"> </w:t>
      </w:r>
      <w:r w:rsidR="00FE561B">
        <w:rPr>
          <w:lang w:eastAsia="en-US"/>
        </w:rPr>
        <w:t>during the pandemic</w:t>
      </w:r>
      <w:r w:rsidR="00CF0F6F">
        <w:rPr>
          <w:lang w:eastAsia="en-US"/>
        </w:rPr>
        <w:t xml:space="preserve"> have raised </w:t>
      </w:r>
      <w:r w:rsidR="0087098F">
        <w:rPr>
          <w:lang w:eastAsia="en-US"/>
        </w:rPr>
        <w:t>many of the concern</w:t>
      </w:r>
      <w:r w:rsidR="00A15AA1">
        <w:rPr>
          <w:lang w:eastAsia="en-US"/>
        </w:rPr>
        <w:t>s</w:t>
      </w:r>
      <w:r w:rsidR="0087098F">
        <w:rPr>
          <w:lang w:eastAsia="en-US"/>
        </w:rPr>
        <w:t xml:space="preserve"> discussed above</w:t>
      </w:r>
      <w:r w:rsidR="002A4F4E">
        <w:rPr>
          <w:lang w:eastAsia="en-US"/>
        </w:rPr>
        <w:t xml:space="preserve">. </w:t>
      </w:r>
      <w:r w:rsidR="00A15AA1">
        <w:rPr>
          <w:lang w:eastAsia="en-US"/>
        </w:rPr>
        <w:t>In addition</w:t>
      </w:r>
      <w:r w:rsidR="0061727C">
        <w:rPr>
          <w:lang w:eastAsia="en-US"/>
        </w:rPr>
        <w:t>, Officers have been concerned that</w:t>
      </w:r>
      <w:r w:rsidR="002A4F4E">
        <w:rPr>
          <w:lang w:eastAsia="en-US"/>
        </w:rPr>
        <w:t xml:space="preserve"> </w:t>
      </w:r>
      <w:r w:rsidR="001A01C1">
        <w:rPr>
          <w:lang w:eastAsia="en-US"/>
        </w:rPr>
        <w:t xml:space="preserve">changes to treatment plans </w:t>
      </w:r>
      <w:r w:rsidR="0061727C">
        <w:rPr>
          <w:lang w:eastAsia="en-US"/>
        </w:rPr>
        <w:t xml:space="preserve">have occurred </w:t>
      </w:r>
      <w:r w:rsidR="001A01C1">
        <w:rPr>
          <w:lang w:eastAsia="en-US"/>
        </w:rPr>
        <w:t>that were not notified to the Senior Practitioner</w:t>
      </w:r>
      <w:r w:rsidR="0075464C">
        <w:rPr>
          <w:lang w:eastAsia="en-US"/>
        </w:rPr>
        <w:t>, OPA</w:t>
      </w:r>
      <w:r w:rsidR="001A01C1">
        <w:rPr>
          <w:lang w:eastAsia="en-US"/>
        </w:rPr>
        <w:t xml:space="preserve"> or to VCAT</w:t>
      </w:r>
      <w:r w:rsidR="0075464C">
        <w:rPr>
          <w:lang w:eastAsia="en-US"/>
        </w:rPr>
        <w:t xml:space="preserve"> on the grounds that the pandemic </w:t>
      </w:r>
      <w:r w:rsidR="000F6158">
        <w:rPr>
          <w:lang w:eastAsia="en-US"/>
        </w:rPr>
        <w:t>and related restrictions prevented particular activities from occurring.</w:t>
      </w:r>
      <w:r w:rsidR="00435E63">
        <w:rPr>
          <w:lang w:eastAsia="en-US"/>
        </w:rPr>
        <w:t xml:space="preserve"> </w:t>
      </w:r>
      <w:r w:rsidR="003767ED">
        <w:rPr>
          <w:lang w:eastAsia="en-US"/>
        </w:rPr>
        <w:t xml:space="preserve">OPA is concerned that </w:t>
      </w:r>
      <w:r w:rsidR="00C04281">
        <w:rPr>
          <w:lang w:eastAsia="en-US"/>
        </w:rPr>
        <w:t>at least some of these changes</w:t>
      </w:r>
      <w:r w:rsidR="006A1B5B">
        <w:rPr>
          <w:lang w:eastAsia="en-US"/>
        </w:rPr>
        <w:t xml:space="preserve"> have been more restrictive than </w:t>
      </w:r>
      <w:r w:rsidR="002B16CE">
        <w:rPr>
          <w:lang w:eastAsia="en-US"/>
        </w:rPr>
        <w:t xml:space="preserve">those </w:t>
      </w:r>
      <w:r w:rsidR="009278B6">
        <w:rPr>
          <w:lang w:eastAsia="en-US"/>
        </w:rPr>
        <w:t>required</w:t>
      </w:r>
      <w:r w:rsidR="006A1B5B">
        <w:rPr>
          <w:lang w:eastAsia="en-US"/>
        </w:rPr>
        <w:t xml:space="preserve"> by the CHO directions</w:t>
      </w:r>
      <w:r w:rsidR="003D780E">
        <w:rPr>
          <w:lang w:eastAsia="en-US"/>
        </w:rPr>
        <w:t>.</w:t>
      </w:r>
      <w:r w:rsidR="0022354F">
        <w:rPr>
          <w:lang w:eastAsia="en-US"/>
        </w:rPr>
        <w:t xml:space="preserve"> OPA is also concerned that the </w:t>
      </w:r>
      <w:r w:rsidR="00803205">
        <w:rPr>
          <w:lang w:eastAsia="en-US"/>
        </w:rPr>
        <w:t xml:space="preserve">residential </w:t>
      </w:r>
      <w:r w:rsidR="0022354F">
        <w:rPr>
          <w:lang w:eastAsia="en-US"/>
        </w:rPr>
        <w:t xml:space="preserve">services involved </w:t>
      </w:r>
      <w:r w:rsidR="00175317">
        <w:rPr>
          <w:lang w:eastAsia="en-US"/>
        </w:rPr>
        <w:t>appeared</w:t>
      </w:r>
      <w:r w:rsidR="00B06413">
        <w:rPr>
          <w:lang w:eastAsia="en-US"/>
        </w:rPr>
        <w:t>, in some cases,</w:t>
      </w:r>
      <w:r w:rsidR="00175317">
        <w:rPr>
          <w:lang w:eastAsia="en-US"/>
        </w:rPr>
        <w:t xml:space="preserve"> to have given little thought to how </w:t>
      </w:r>
      <w:r w:rsidR="00803205">
        <w:rPr>
          <w:lang w:eastAsia="en-US"/>
        </w:rPr>
        <w:t xml:space="preserve">other </w:t>
      </w:r>
      <w:r w:rsidR="00B06413">
        <w:rPr>
          <w:lang w:eastAsia="en-US"/>
        </w:rPr>
        <w:t>essential services</w:t>
      </w:r>
      <w:r w:rsidR="0091337F">
        <w:rPr>
          <w:lang w:eastAsia="en-US"/>
        </w:rPr>
        <w:t>,</w:t>
      </w:r>
      <w:r w:rsidR="00B06413">
        <w:rPr>
          <w:lang w:eastAsia="en-US"/>
        </w:rPr>
        <w:t xml:space="preserve"> supports and routine activities</w:t>
      </w:r>
      <w:r w:rsidR="0091337F">
        <w:rPr>
          <w:lang w:eastAsia="en-US"/>
        </w:rPr>
        <w:t xml:space="preserve"> could be facilitated </w:t>
      </w:r>
      <w:r w:rsidR="00C37638">
        <w:rPr>
          <w:lang w:eastAsia="en-US"/>
        </w:rPr>
        <w:t>while ensuring compliance with CHO directions</w:t>
      </w:r>
      <w:r w:rsidR="00803205">
        <w:rPr>
          <w:lang w:eastAsia="en-US"/>
        </w:rPr>
        <w:t>.</w:t>
      </w:r>
    </w:p>
    <w:p w14:paraId="07192343" w14:textId="06AECE82" w:rsidR="00B22982" w:rsidRDefault="00064E90" w:rsidP="006540FD">
      <w:pPr>
        <w:spacing w:line="276" w:lineRule="auto"/>
        <w:ind w:left="709"/>
        <w:rPr>
          <w:lang w:eastAsia="en-US"/>
        </w:rPr>
      </w:pPr>
      <w:r>
        <w:rPr>
          <w:lang w:eastAsia="en-US"/>
        </w:rPr>
        <w:t xml:space="preserve">Disability Act Officer’s sought to highlight these concerns during VCAT hearings and </w:t>
      </w:r>
      <w:r w:rsidR="0082659D">
        <w:rPr>
          <w:lang w:eastAsia="en-US"/>
        </w:rPr>
        <w:t>advocate for better outcomes for those effected.</w:t>
      </w:r>
    </w:p>
    <w:p w14:paraId="75592D5E" w14:textId="3280432E" w:rsidR="00901B28" w:rsidRDefault="00901B28" w:rsidP="00901B28">
      <w:pPr>
        <w:pStyle w:val="Heading2OPA"/>
        <w:numPr>
          <w:ilvl w:val="1"/>
          <w:numId w:val="16"/>
        </w:numPr>
        <w:spacing w:line="276" w:lineRule="auto"/>
        <w:ind w:left="709" w:hanging="709"/>
      </w:pPr>
      <w:bookmarkStart w:id="32" w:name="_Toc46949149"/>
      <w:r>
        <w:t>Advice</w:t>
      </w:r>
      <w:r w:rsidR="0047071D">
        <w:t xml:space="preserve"> service</w:t>
      </w:r>
      <w:bookmarkEnd w:id="32"/>
    </w:p>
    <w:p w14:paraId="27638C6E" w14:textId="77777777" w:rsidR="00562B27" w:rsidRDefault="00871195" w:rsidP="0014096C">
      <w:pPr>
        <w:spacing w:line="276" w:lineRule="auto"/>
        <w:ind w:left="709"/>
        <w:rPr>
          <w:lang w:eastAsia="en-US"/>
        </w:rPr>
      </w:pPr>
      <w:r>
        <w:rPr>
          <w:lang w:eastAsia="en-US"/>
        </w:rPr>
        <w:t xml:space="preserve">Calls to OPA’s advice service during the pandemic </w:t>
      </w:r>
      <w:r w:rsidR="00521049">
        <w:rPr>
          <w:lang w:eastAsia="en-US"/>
        </w:rPr>
        <w:t xml:space="preserve">(and, although fewer, during the fires) </w:t>
      </w:r>
      <w:r>
        <w:rPr>
          <w:lang w:eastAsia="en-US"/>
        </w:rPr>
        <w:t>have highlighted many of the themes that have bee</w:t>
      </w:r>
      <w:r w:rsidR="00521049">
        <w:rPr>
          <w:lang w:eastAsia="en-US"/>
        </w:rPr>
        <w:t>n discussed above</w:t>
      </w:r>
      <w:r w:rsidR="004D4605">
        <w:rPr>
          <w:lang w:eastAsia="en-US"/>
        </w:rPr>
        <w:t xml:space="preserve">. Members of the public, </w:t>
      </w:r>
      <w:r w:rsidR="00FD23C4">
        <w:rPr>
          <w:lang w:eastAsia="en-US"/>
        </w:rPr>
        <w:t xml:space="preserve">including </w:t>
      </w:r>
      <w:r w:rsidR="004D4605">
        <w:rPr>
          <w:lang w:eastAsia="en-US"/>
        </w:rPr>
        <w:t>families</w:t>
      </w:r>
      <w:r w:rsidR="00FD23C4">
        <w:rPr>
          <w:lang w:eastAsia="en-US"/>
        </w:rPr>
        <w:t xml:space="preserve">, friends </w:t>
      </w:r>
      <w:r w:rsidR="004D4605">
        <w:rPr>
          <w:lang w:eastAsia="en-US"/>
        </w:rPr>
        <w:t>and disability</w:t>
      </w:r>
      <w:r w:rsidR="00FD23C4">
        <w:rPr>
          <w:lang w:eastAsia="en-US"/>
        </w:rPr>
        <w:t xml:space="preserve"> service provider</w:t>
      </w:r>
      <w:r w:rsidR="00093E7B">
        <w:rPr>
          <w:lang w:eastAsia="en-US"/>
        </w:rPr>
        <w:t xml:space="preserve"> staff, have contacted the advice service with deeply held c</w:t>
      </w:r>
      <w:r w:rsidR="00960464">
        <w:rPr>
          <w:lang w:eastAsia="en-US"/>
        </w:rPr>
        <w:t xml:space="preserve">oncerns for the wellbeing and safety of people with disability living in private homes and </w:t>
      </w:r>
      <w:r w:rsidR="00411873">
        <w:rPr>
          <w:lang w:eastAsia="en-US"/>
        </w:rPr>
        <w:t xml:space="preserve">congregate care settings. </w:t>
      </w:r>
      <w:r w:rsidR="00411873" w:rsidRPr="00A31101">
        <w:rPr>
          <w:lang w:eastAsia="en-US"/>
        </w:rPr>
        <w:t xml:space="preserve">Members of the public have also called </w:t>
      </w:r>
      <w:r w:rsidR="00825624" w:rsidRPr="00A31101">
        <w:rPr>
          <w:lang w:eastAsia="en-US"/>
        </w:rPr>
        <w:t>with questions about ‘front door’ policies and to share the impacts of those policies on people with disability</w:t>
      </w:r>
      <w:r w:rsidR="003C2E38" w:rsidRPr="00A31101">
        <w:rPr>
          <w:lang w:eastAsia="en-US"/>
        </w:rPr>
        <w:t>.</w:t>
      </w:r>
      <w:r w:rsidR="003C2E38">
        <w:rPr>
          <w:lang w:eastAsia="en-US"/>
        </w:rPr>
        <w:t xml:space="preserve"> Answering those questions was more difficult during the first Victoria-wide lockdown</w:t>
      </w:r>
      <w:r w:rsidR="00A674BD">
        <w:rPr>
          <w:lang w:eastAsia="en-US"/>
        </w:rPr>
        <w:t xml:space="preserve"> due to the lack of clarity in the wording of the CHO directions (discussed above); hopefully</w:t>
      </w:r>
      <w:r w:rsidR="006D6781">
        <w:rPr>
          <w:lang w:eastAsia="en-US"/>
        </w:rPr>
        <w:t>,</w:t>
      </w:r>
      <w:r w:rsidR="00A674BD">
        <w:rPr>
          <w:lang w:eastAsia="en-US"/>
        </w:rPr>
        <w:t xml:space="preserve"> </w:t>
      </w:r>
      <w:r w:rsidR="00716042">
        <w:rPr>
          <w:lang w:eastAsia="en-US"/>
        </w:rPr>
        <w:t xml:space="preserve">the greater specificity of the second Greater Melbourne lockdown directions </w:t>
      </w:r>
      <w:r w:rsidR="006D6781">
        <w:rPr>
          <w:lang w:eastAsia="en-US"/>
        </w:rPr>
        <w:t>will enable the advice service to give more comprehensive advice.</w:t>
      </w:r>
    </w:p>
    <w:p w14:paraId="05544B9E" w14:textId="3FBA71ED" w:rsidR="0014096C" w:rsidRDefault="0014677D" w:rsidP="0014096C">
      <w:pPr>
        <w:spacing w:line="276" w:lineRule="auto"/>
        <w:ind w:left="709"/>
        <w:rPr>
          <w:lang w:eastAsia="en-US"/>
        </w:rPr>
      </w:pPr>
      <w:r>
        <w:rPr>
          <w:lang w:eastAsia="en-US"/>
        </w:rPr>
        <w:t xml:space="preserve">OPA has long held that there is a gap in </w:t>
      </w:r>
      <w:r w:rsidR="003A6954">
        <w:rPr>
          <w:lang w:eastAsia="en-US"/>
        </w:rPr>
        <w:t xml:space="preserve">the </w:t>
      </w:r>
      <w:r>
        <w:rPr>
          <w:lang w:eastAsia="en-US"/>
        </w:rPr>
        <w:t>adult safeguarding</w:t>
      </w:r>
      <w:r w:rsidR="00D00C1D">
        <w:rPr>
          <w:lang w:eastAsia="en-US"/>
        </w:rPr>
        <w:t xml:space="preserve"> framework in Victoria</w:t>
      </w:r>
      <w:r w:rsidR="00E6597B">
        <w:rPr>
          <w:lang w:eastAsia="en-US"/>
        </w:rPr>
        <w:t>: that</w:t>
      </w:r>
      <w:r w:rsidR="003A6954">
        <w:rPr>
          <w:lang w:eastAsia="en-US"/>
        </w:rPr>
        <w:t xml:space="preserve"> there is no clear pathway for investigati</w:t>
      </w:r>
      <w:r w:rsidR="000E4EE8">
        <w:rPr>
          <w:lang w:eastAsia="en-US"/>
        </w:rPr>
        <w:t>ng</w:t>
      </w:r>
      <w:r w:rsidR="003A6954">
        <w:rPr>
          <w:lang w:eastAsia="en-US"/>
        </w:rPr>
        <w:t xml:space="preserve"> safety concerns held for people </w:t>
      </w:r>
      <w:r w:rsidR="00F768DA">
        <w:rPr>
          <w:lang w:eastAsia="en-US"/>
        </w:rPr>
        <w:t xml:space="preserve">living </w:t>
      </w:r>
      <w:r w:rsidR="003A6954">
        <w:rPr>
          <w:lang w:eastAsia="en-US"/>
        </w:rPr>
        <w:t xml:space="preserve">in private homes </w:t>
      </w:r>
      <w:r w:rsidR="000E4EE8">
        <w:rPr>
          <w:lang w:eastAsia="en-US"/>
        </w:rPr>
        <w:t>that do not involve a crime or an emergency</w:t>
      </w:r>
      <w:r w:rsidR="00E6597B">
        <w:rPr>
          <w:lang w:eastAsia="en-US"/>
        </w:rPr>
        <w:t>.</w:t>
      </w:r>
      <w:r w:rsidR="00716042">
        <w:rPr>
          <w:lang w:eastAsia="en-US"/>
        </w:rPr>
        <w:t xml:space="preserve"> </w:t>
      </w:r>
      <w:r w:rsidR="00F768DA">
        <w:rPr>
          <w:lang w:eastAsia="en-US"/>
        </w:rPr>
        <w:t>Call</w:t>
      </w:r>
      <w:r w:rsidR="00176F2E">
        <w:rPr>
          <w:lang w:eastAsia="en-US"/>
        </w:rPr>
        <w:t>s</w:t>
      </w:r>
      <w:r w:rsidR="00F768DA">
        <w:rPr>
          <w:lang w:eastAsia="en-US"/>
        </w:rPr>
        <w:t xml:space="preserve"> during the pandemic </w:t>
      </w:r>
      <w:r w:rsidR="00176F2E">
        <w:rPr>
          <w:lang w:eastAsia="en-US"/>
        </w:rPr>
        <w:t xml:space="preserve">reflected this fact: </w:t>
      </w:r>
      <w:r w:rsidR="00873087">
        <w:rPr>
          <w:lang w:eastAsia="en-US"/>
        </w:rPr>
        <w:t>that with the usual community and health services reducing their</w:t>
      </w:r>
      <w:r w:rsidR="00CD7D5B">
        <w:rPr>
          <w:lang w:eastAsia="en-US"/>
        </w:rPr>
        <w:t xml:space="preserve"> face-to-face</w:t>
      </w:r>
      <w:r w:rsidR="00873087">
        <w:rPr>
          <w:lang w:eastAsia="en-US"/>
        </w:rPr>
        <w:t xml:space="preserve"> presence</w:t>
      </w:r>
      <w:r w:rsidR="00384851">
        <w:rPr>
          <w:lang w:eastAsia="en-US"/>
        </w:rPr>
        <w:t>, families and advocates</w:t>
      </w:r>
      <w:r w:rsidR="00CD7D5B">
        <w:rPr>
          <w:lang w:eastAsia="en-US"/>
        </w:rPr>
        <w:t xml:space="preserve"> held sometimes grave fea</w:t>
      </w:r>
      <w:r w:rsidR="00384851">
        <w:rPr>
          <w:lang w:eastAsia="en-US"/>
        </w:rPr>
        <w:t>r</w:t>
      </w:r>
      <w:r w:rsidR="00CD7D5B">
        <w:rPr>
          <w:lang w:eastAsia="en-US"/>
        </w:rPr>
        <w:t xml:space="preserve">s for </w:t>
      </w:r>
      <w:r w:rsidR="00BE0C85">
        <w:rPr>
          <w:lang w:eastAsia="en-US"/>
        </w:rPr>
        <w:t xml:space="preserve">people’s </w:t>
      </w:r>
      <w:r w:rsidR="00CD7D5B">
        <w:rPr>
          <w:lang w:eastAsia="en-US"/>
        </w:rPr>
        <w:t>safety</w:t>
      </w:r>
      <w:r w:rsidR="00384851">
        <w:rPr>
          <w:lang w:eastAsia="en-US"/>
        </w:rPr>
        <w:t>. P</w:t>
      </w:r>
      <w:r w:rsidR="00176F2E">
        <w:rPr>
          <w:lang w:eastAsia="en-US"/>
        </w:rPr>
        <w:t xml:space="preserve">olice were </w:t>
      </w:r>
      <w:r w:rsidR="00384851">
        <w:rPr>
          <w:lang w:eastAsia="en-US"/>
        </w:rPr>
        <w:t xml:space="preserve">often </w:t>
      </w:r>
      <w:r w:rsidR="00176F2E">
        <w:rPr>
          <w:lang w:eastAsia="en-US"/>
        </w:rPr>
        <w:t xml:space="preserve">able to do welfare checks </w:t>
      </w:r>
      <w:r w:rsidR="006157CC">
        <w:rPr>
          <w:lang w:eastAsia="en-US"/>
        </w:rPr>
        <w:t xml:space="preserve">on these people, </w:t>
      </w:r>
      <w:r w:rsidR="000005C6">
        <w:rPr>
          <w:lang w:eastAsia="en-US"/>
        </w:rPr>
        <w:t xml:space="preserve">but police are not well-placed to </w:t>
      </w:r>
      <w:r w:rsidR="009E25E3">
        <w:rPr>
          <w:lang w:eastAsia="en-US"/>
        </w:rPr>
        <w:t xml:space="preserve">identify abusive or exploitative situations </w:t>
      </w:r>
      <w:r w:rsidR="008D04DE">
        <w:rPr>
          <w:lang w:eastAsia="en-US"/>
        </w:rPr>
        <w:t>where the person involved has a cognitive impairment and there is no obvious recent physical harm</w:t>
      </w:r>
      <w:r w:rsidR="0029650F">
        <w:rPr>
          <w:lang w:eastAsia="en-US"/>
        </w:rPr>
        <w:t>.</w:t>
      </w:r>
    </w:p>
    <w:p w14:paraId="31DE8B7F" w14:textId="3B51CBB4" w:rsidR="009E1B44" w:rsidRDefault="00AC2577" w:rsidP="009F0E13">
      <w:pPr>
        <w:spacing w:line="276" w:lineRule="auto"/>
        <w:ind w:left="709"/>
        <w:rPr>
          <w:lang w:eastAsia="en-US"/>
        </w:rPr>
      </w:pPr>
      <w:r>
        <w:rPr>
          <w:lang w:eastAsia="en-US"/>
        </w:rPr>
        <w:t>Where the Advice Service was able to refer matters to OPA’s Community Visitors program or its Disability Act Officers they did</w:t>
      </w:r>
      <w:r w:rsidR="00255F3D">
        <w:rPr>
          <w:lang w:eastAsia="en-US"/>
        </w:rPr>
        <w:t>, with three-fold growth in these types of referrals.</w:t>
      </w:r>
    </w:p>
    <w:p w14:paraId="363A74B9" w14:textId="53948C98" w:rsidR="00C21A25" w:rsidRDefault="00C21A25" w:rsidP="00C21A25">
      <w:pPr>
        <w:pStyle w:val="Heading2OPA"/>
        <w:numPr>
          <w:ilvl w:val="1"/>
          <w:numId w:val="16"/>
        </w:numPr>
        <w:spacing w:line="276" w:lineRule="auto"/>
        <w:ind w:left="709" w:hanging="709"/>
      </w:pPr>
      <w:bookmarkStart w:id="33" w:name="_Toc46949150"/>
      <w:r>
        <w:lastRenderedPageBreak/>
        <w:t>The towers</w:t>
      </w:r>
      <w:bookmarkEnd w:id="33"/>
    </w:p>
    <w:p w14:paraId="4C007DC6" w14:textId="5D9F271C" w:rsidR="00C21A25" w:rsidRDefault="00481A2E" w:rsidP="009F0E13">
      <w:pPr>
        <w:spacing w:line="276" w:lineRule="auto"/>
        <w:ind w:left="709"/>
        <w:rPr>
          <w:lang w:eastAsia="en-US"/>
        </w:rPr>
      </w:pPr>
      <w:r>
        <w:rPr>
          <w:lang w:eastAsia="en-US"/>
        </w:rPr>
        <w:t xml:space="preserve">While OPA did not have any </w:t>
      </w:r>
      <w:r w:rsidR="00154F87">
        <w:rPr>
          <w:lang w:eastAsia="en-US"/>
        </w:rPr>
        <w:t>clients</w:t>
      </w:r>
      <w:r w:rsidR="00F67912">
        <w:rPr>
          <w:lang w:eastAsia="en-US"/>
        </w:rPr>
        <w:t xml:space="preserve"> living in the nine public housing towers that were subject to the most severe lockdown conditions </w:t>
      </w:r>
      <w:r w:rsidR="00154F87">
        <w:rPr>
          <w:lang w:eastAsia="en-US"/>
        </w:rPr>
        <w:t>that have occurred anywhere in Australia so far</w:t>
      </w:r>
      <w:r w:rsidR="00570029">
        <w:rPr>
          <w:lang w:eastAsia="en-US"/>
        </w:rPr>
        <w:t xml:space="preserve">, we did </w:t>
      </w:r>
      <w:r w:rsidR="007430F7">
        <w:rPr>
          <w:lang w:eastAsia="en-US"/>
        </w:rPr>
        <w:t>play</w:t>
      </w:r>
      <w:r w:rsidR="00570029">
        <w:rPr>
          <w:lang w:eastAsia="en-US"/>
        </w:rPr>
        <w:t xml:space="preserve"> a </w:t>
      </w:r>
      <w:r w:rsidR="008A6377">
        <w:rPr>
          <w:lang w:eastAsia="en-US"/>
        </w:rPr>
        <w:t>brief</w:t>
      </w:r>
      <w:r w:rsidR="00570029">
        <w:rPr>
          <w:lang w:eastAsia="en-US"/>
        </w:rPr>
        <w:t xml:space="preserve"> advocacy role</w:t>
      </w:r>
      <w:r w:rsidR="007430F7">
        <w:rPr>
          <w:lang w:eastAsia="en-US"/>
        </w:rPr>
        <w:t xml:space="preserve"> in one troubling situation</w:t>
      </w:r>
      <w:r w:rsidR="0050295D">
        <w:rPr>
          <w:lang w:eastAsia="en-US"/>
        </w:rPr>
        <w:t xml:space="preserve"> at the request of a disability advocacy organisation.</w:t>
      </w:r>
    </w:p>
    <w:p w14:paraId="3DAC3C8E" w14:textId="1A278EB4" w:rsidR="006865B3" w:rsidRDefault="0054743F" w:rsidP="009F0E13">
      <w:pPr>
        <w:spacing w:line="276" w:lineRule="auto"/>
        <w:ind w:left="709"/>
        <w:rPr>
          <w:lang w:eastAsia="en-US"/>
        </w:rPr>
      </w:pPr>
      <w:r>
        <w:rPr>
          <w:lang w:eastAsia="en-US"/>
        </w:rPr>
        <w:t xml:space="preserve">OPA would like to highlight the </w:t>
      </w:r>
      <w:r w:rsidR="00AB5C17">
        <w:rPr>
          <w:lang w:eastAsia="en-US"/>
        </w:rPr>
        <w:t>concerns raised by multiple advocacy</w:t>
      </w:r>
      <w:r w:rsidR="00101136">
        <w:rPr>
          <w:lang w:eastAsia="en-US"/>
        </w:rPr>
        <w:t>,</w:t>
      </w:r>
      <w:r w:rsidR="00AB5C17">
        <w:rPr>
          <w:lang w:eastAsia="en-US"/>
        </w:rPr>
        <w:t xml:space="preserve"> community legal organisations</w:t>
      </w:r>
      <w:r w:rsidR="00101136">
        <w:rPr>
          <w:lang w:eastAsia="en-US"/>
        </w:rPr>
        <w:t xml:space="preserve"> and community groups about the circumstances and </w:t>
      </w:r>
      <w:r w:rsidR="00952799">
        <w:rPr>
          <w:lang w:eastAsia="en-US"/>
        </w:rPr>
        <w:t>emergency responses that characterised that initial event and the five days that followed.</w:t>
      </w:r>
    </w:p>
    <w:p w14:paraId="1453D738" w14:textId="74CCC9CC" w:rsidR="008F684B" w:rsidRDefault="004E39B7" w:rsidP="009F0E13">
      <w:pPr>
        <w:spacing w:line="276" w:lineRule="auto"/>
        <w:ind w:left="709"/>
        <w:rPr>
          <w:lang w:eastAsia="en-US"/>
        </w:rPr>
      </w:pPr>
      <w:r>
        <w:rPr>
          <w:lang w:eastAsia="en-US"/>
        </w:rPr>
        <w:t xml:space="preserve">The ‘hard lockdown’ was announced without warning in a </w:t>
      </w:r>
      <w:r w:rsidR="003D4601">
        <w:rPr>
          <w:lang w:eastAsia="en-US"/>
        </w:rPr>
        <w:t xml:space="preserve">press conference </w:t>
      </w:r>
      <w:r>
        <w:rPr>
          <w:lang w:eastAsia="en-US"/>
        </w:rPr>
        <w:t>and with significant police presence</w:t>
      </w:r>
      <w:r w:rsidR="003D4601">
        <w:rPr>
          <w:lang w:eastAsia="en-US"/>
        </w:rPr>
        <w:t xml:space="preserve"> already onsite. </w:t>
      </w:r>
      <w:r w:rsidR="0004368F">
        <w:rPr>
          <w:lang w:eastAsia="en-US"/>
        </w:rPr>
        <w:t>T</w:t>
      </w:r>
      <w:r w:rsidR="00C65CDC">
        <w:rPr>
          <w:lang w:eastAsia="en-US"/>
        </w:rPr>
        <w:t xml:space="preserve">he </w:t>
      </w:r>
      <w:r w:rsidR="0067628D">
        <w:rPr>
          <w:lang w:eastAsia="en-US"/>
        </w:rPr>
        <w:t xml:space="preserve">‘hard lockdown’ was aimed at stopping further community spread </w:t>
      </w:r>
      <w:r w:rsidR="0004368F">
        <w:rPr>
          <w:lang w:eastAsia="en-US"/>
        </w:rPr>
        <w:t xml:space="preserve">(inside and outside of the towers) </w:t>
      </w:r>
      <w:r w:rsidR="0067628D">
        <w:rPr>
          <w:lang w:eastAsia="en-US"/>
        </w:rPr>
        <w:t xml:space="preserve">in light of the number of cases identified </w:t>
      </w:r>
      <w:r w:rsidR="009256E0">
        <w:rPr>
          <w:lang w:eastAsia="en-US"/>
        </w:rPr>
        <w:t>across</w:t>
      </w:r>
      <w:r w:rsidR="0067628D">
        <w:rPr>
          <w:lang w:eastAsia="en-US"/>
        </w:rPr>
        <w:t xml:space="preserve"> those </w:t>
      </w:r>
      <w:r w:rsidR="00DD055C">
        <w:rPr>
          <w:lang w:eastAsia="en-US"/>
        </w:rPr>
        <w:t>two groups of towers</w:t>
      </w:r>
      <w:r w:rsidR="009256E0">
        <w:rPr>
          <w:lang w:eastAsia="en-US"/>
        </w:rPr>
        <w:t>,</w:t>
      </w:r>
      <w:r w:rsidR="00DD055C">
        <w:rPr>
          <w:lang w:eastAsia="en-US"/>
        </w:rPr>
        <w:t xml:space="preserve"> and the </w:t>
      </w:r>
      <w:r w:rsidR="0075625D">
        <w:rPr>
          <w:lang w:eastAsia="en-US"/>
        </w:rPr>
        <w:t xml:space="preserve">close quarters and shared facilities that residents </w:t>
      </w:r>
      <w:r w:rsidR="00AA4431">
        <w:rPr>
          <w:lang w:eastAsia="en-US"/>
        </w:rPr>
        <w:t>lived with</w:t>
      </w:r>
      <w:r w:rsidR="009256E0">
        <w:rPr>
          <w:lang w:eastAsia="en-US"/>
        </w:rPr>
        <w:t>. Th</w:t>
      </w:r>
      <w:r w:rsidR="000C71AA">
        <w:rPr>
          <w:lang w:eastAsia="en-US"/>
        </w:rPr>
        <w:t xml:space="preserve">e public health advice effectively considered </w:t>
      </w:r>
      <w:r w:rsidR="00AA4431">
        <w:rPr>
          <w:lang w:eastAsia="en-US"/>
        </w:rPr>
        <w:t xml:space="preserve">all residents potential ‘close contacts’ of </w:t>
      </w:r>
      <w:r w:rsidR="0004368F">
        <w:rPr>
          <w:lang w:eastAsia="en-US"/>
        </w:rPr>
        <w:t>positive cases</w:t>
      </w:r>
      <w:r w:rsidR="000C71AA">
        <w:rPr>
          <w:lang w:eastAsia="en-US"/>
        </w:rPr>
        <w:t xml:space="preserve">, and put them into five days of lockdown </w:t>
      </w:r>
      <w:r w:rsidR="00C73056">
        <w:rPr>
          <w:lang w:eastAsia="en-US"/>
        </w:rPr>
        <w:t>so</w:t>
      </w:r>
      <w:r w:rsidR="000C71AA">
        <w:rPr>
          <w:lang w:eastAsia="en-US"/>
        </w:rPr>
        <w:t xml:space="preserve"> tests </w:t>
      </w:r>
      <w:r w:rsidR="00C73056">
        <w:rPr>
          <w:lang w:eastAsia="en-US"/>
        </w:rPr>
        <w:t>of residents could be</w:t>
      </w:r>
      <w:r w:rsidR="000C71AA">
        <w:rPr>
          <w:lang w:eastAsia="en-US"/>
        </w:rPr>
        <w:t xml:space="preserve"> undertaken</w:t>
      </w:r>
      <w:r w:rsidR="00C73056">
        <w:rPr>
          <w:lang w:eastAsia="en-US"/>
        </w:rPr>
        <w:t>.</w:t>
      </w:r>
      <w:r w:rsidR="00F4619E">
        <w:rPr>
          <w:lang w:eastAsia="en-US"/>
        </w:rPr>
        <w:t xml:space="preserve"> OPA does not disagree </w:t>
      </w:r>
      <w:r w:rsidR="009D2C52">
        <w:rPr>
          <w:lang w:eastAsia="en-US"/>
        </w:rPr>
        <w:t>with the public health advice. OPA would just highlight the fact that it was the overcrowded</w:t>
      </w:r>
      <w:r w:rsidR="003B695A">
        <w:rPr>
          <w:lang w:eastAsia="en-US"/>
        </w:rPr>
        <w:t xml:space="preserve">, poorly maintained </w:t>
      </w:r>
      <w:r w:rsidR="009D2C52">
        <w:rPr>
          <w:lang w:eastAsia="en-US"/>
        </w:rPr>
        <w:t>living conditions</w:t>
      </w:r>
      <w:r w:rsidR="003B695A">
        <w:rPr>
          <w:lang w:eastAsia="en-US"/>
        </w:rPr>
        <w:t xml:space="preserve"> (with reportedly only one lift </w:t>
      </w:r>
      <w:r w:rsidR="007E4A66">
        <w:rPr>
          <w:lang w:eastAsia="en-US"/>
        </w:rPr>
        <w:t>regularly in operation to service whole buildings)</w:t>
      </w:r>
      <w:r w:rsidR="00666487">
        <w:rPr>
          <w:lang w:eastAsia="en-US"/>
        </w:rPr>
        <w:t xml:space="preserve"> and shared laundries </w:t>
      </w:r>
      <w:r w:rsidR="003A00A0">
        <w:rPr>
          <w:lang w:eastAsia="en-US"/>
        </w:rPr>
        <w:t xml:space="preserve">that resulted in </w:t>
      </w:r>
      <w:r w:rsidR="003C629C">
        <w:rPr>
          <w:lang w:eastAsia="en-US"/>
        </w:rPr>
        <w:t>entire towers full of people being considered each other’s ‘close contacts’. These living conditions</w:t>
      </w:r>
      <w:r w:rsidR="00D46208">
        <w:rPr>
          <w:lang w:eastAsia="en-US"/>
        </w:rPr>
        <w:t xml:space="preserve"> necessitated much harsher lockdown conditions, and the </w:t>
      </w:r>
      <w:r w:rsidR="00451572">
        <w:rPr>
          <w:lang w:eastAsia="en-US"/>
        </w:rPr>
        <w:t xml:space="preserve">mental health trauma that can result, than </w:t>
      </w:r>
      <w:r w:rsidR="00B531C5">
        <w:rPr>
          <w:lang w:eastAsia="en-US"/>
        </w:rPr>
        <w:t xml:space="preserve">would have </w:t>
      </w:r>
      <w:r w:rsidR="007C68A9">
        <w:rPr>
          <w:lang w:eastAsia="en-US"/>
        </w:rPr>
        <w:t xml:space="preserve">been necessary </w:t>
      </w:r>
      <w:r w:rsidR="00B531C5">
        <w:rPr>
          <w:lang w:eastAsia="en-US"/>
        </w:rPr>
        <w:t>in privately owned tower blocks</w:t>
      </w:r>
      <w:r w:rsidR="007C68A9">
        <w:rPr>
          <w:lang w:eastAsia="en-US"/>
        </w:rPr>
        <w:t>:</w:t>
      </w:r>
      <w:r w:rsidR="009E2611">
        <w:rPr>
          <w:lang w:eastAsia="en-US"/>
        </w:rPr>
        <w:t xml:space="preserve"> with individual laundry facilities</w:t>
      </w:r>
      <w:r w:rsidR="00EA5B49">
        <w:rPr>
          <w:lang w:eastAsia="en-US"/>
        </w:rPr>
        <w:t>,</w:t>
      </w:r>
      <w:r w:rsidR="009E2611">
        <w:rPr>
          <w:lang w:eastAsia="en-US"/>
        </w:rPr>
        <w:t xml:space="preserve"> multiple working lifts</w:t>
      </w:r>
      <w:r w:rsidR="00EA5B49">
        <w:rPr>
          <w:lang w:eastAsia="en-US"/>
        </w:rPr>
        <w:t xml:space="preserve"> and fewer apartments per floor</w:t>
      </w:r>
      <w:r w:rsidR="009E2611">
        <w:rPr>
          <w:lang w:eastAsia="en-US"/>
        </w:rPr>
        <w:t>.</w:t>
      </w:r>
      <w:r w:rsidR="007C68A9">
        <w:rPr>
          <w:lang w:eastAsia="en-US"/>
        </w:rPr>
        <w:t xml:space="preserve"> </w:t>
      </w:r>
      <w:r w:rsidR="008E5FD6">
        <w:rPr>
          <w:lang w:eastAsia="en-US"/>
        </w:rPr>
        <w:t>This is another example of the disproportionate impact of the pandemic on already disadvantaged people.</w:t>
      </w:r>
    </w:p>
    <w:p w14:paraId="6F66834E" w14:textId="4D21FF1E" w:rsidR="00020C2B" w:rsidRDefault="00020C2B" w:rsidP="009F0E13">
      <w:pPr>
        <w:spacing w:line="276" w:lineRule="auto"/>
        <w:ind w:left="709"/>
        <w:rPr>
          <w:lang w:eastAsia="en-US"/>
        </w:rPr>
      </w:pPr>
      <w:r>
        <w:rPr>
          <w:lang w:eastAsia="en-US"/>
        </w:rPr>
        <w:t xml:space="preserve">While OPA would not expect </w:t>
      </w:r>
      <w:r w:rsidR="00F32D7D">
        <w:rPr>
          <w:lang w:eastAsia="en-US"/>
        </w:rPr>
        <w:t>the ‘do no harm’ principle to define the extent of a public health response aimed at preventing further spread of a virus</w:t>
      </w:r>
      <w:r w:rsidR="00A97DE7">
        <w:rPr>
          <w:lang w:eastAsia="en-US"/>
        </w:rPr>
        <w:t xml:space="preserve">, the implementation of the necessary restrictions should </w:t>
      </w:r>
      <w:r w:rsidR="00905311">
        <w:rPr>
          <w:lang w:eastAsia="en-US"/>
        </w:rPr>
        <w:t xml:space="preserve">have been sensitive to mitigating the </w:t>
      </w:r>
      <w:r w:rsidR="005357D3">
        <w:rPr>
          <w:lang w:eastAsia="en-US"/>
        </w:rPr>
        <w:t>impacts of these orders on already vulnerable people. To this end</w:t>
      </w:r>
      <w:r w:rsidR="00460DF2">
        <w:rPr>
          <w:lang w:eastAsia="en-US"/>
        </w:rPr>
        <w:t xml:space="preserve">, the </w:t>
      </w:r>
      <w:r w:rsidR="009744D9">
        <w:rPr>
          <w:lang w:eastAsia="en-US"/>
        </w:rPr>
        <w:t xml:space="preserve">hard </w:t>
      </w:r>
      <w:r w:rsidR="002B696B">
        <w:rPr>
          <w:lang w:eastAsia="en-US"/>
        </w:rPr>
        <w:t xml:space="preserve">lockdown should have </w:t>
      </w:r>
      <w:r w:rsidR="009744D9">
        <w:rPr>
          <w:lang w:eastAsia="en-US"/>
        </w:rPr>
        <w:t>been carried out with a</w:t>
      </w:r>
      <w:r w:rsidR="00335F36">
        <w:rPr>
          <w:lang w:eastAsia="en-US"/>
        </w:rPr>
        <w:t xml:space="preserve"> </w:t>
      </w:r>
      <w:r w:rsidR="009744D9">
        <w:rPr>
          <w:lang w:eastAsia="en-US"/>
        </w:rPr>
        <w:t xml:space="preserve">reduced police presence and a much greater </w:t>
      </w:r>
      <w:r w:rsidR="006B6A3B">
        <w:rPr>
          <w:lang w:eastAsia="en-US"/>
        </w:rPr>
        <w:t>role for social workers, mental health professionals, community leaders and interpreters</w:t>
      </w:r>
      <w:r w:rsidR="00335F36">
        <w:rPr>
          <w:lang w:eastAsia="en-US"/>
        </w:rPr>
        <w:t xml:space="preserve">. We know, and it has been widely reported, that </w:t>
      </w:r>
      <w:r w:rsidR="00B3743B">
        <w:rPr>
          <w:lang w:eastAsia="en-US"/>
        </w:rPr>
        <w:t xml:space="preserve">some </w:t>
      </w:r>
      <w:r w:rsidR="00335F36">
        <w:rPr>
          <w:lang w:eastAsia="en-US"/>
        </w:rPr>
        <w:t xml:space="preserve">people did not </w:t>
      </w:r>
      <w:r w:rsidR="00B3743B">
        <w:rPr>
          <w:lang w:eastAsia="en-US"/>
        </w:rPr>
        <w:t>have</w:t>
      </w:r>
      <w:r w:rsidR="00335F36">
        <w:rPr>
          <w:lang w:eastAsia="en-US"/>
        </w:rPr>
        <w:t xml:space="preserve"> </w:t>
      </w:r>
      <w:r w:rsidR="00B3743B">
        <w:rPr>
          <w:lang w:eastAsia="en-US"/>
        </w:rPr>
        <w:t>adequate food during the first days of the lockdown, that others did not have urgent</w:t>
      </w:r>
      <w:r w:rsidR="000B17E7">
        <w:rPr>
          <w:lang w:eastAsia="en-US"/>
        </w:rPr>
        <w:t>ly needed medication nor in-person access to mental health or nursing supports</w:t>
      </w:r>
      <w:r w:rsidR="00FF618B">
        <w:rPr>
          <w:lang w:eastAsia="en-US"/>
        </w:rPr>
        <w:t>.</w:t>
      </w:r>
    </w:p>
    <w:p w14:paraId="2C45118B" w14:textId="4F124E19" w:rsidR="007D6959" w:rsidRPr="007D6959" w:rsidRDefault="007D6959" w:rsidP="009F0E13">
      <w:pPr>
        <w:spacing w:line="276" w:lineRule="auto"/>
        <w:ind w:left="709"/>
        <w:rPr>
          <w:b/>
          <w:bCs/>
          <w:lang w:eastAsia="en-US"/>
        </w:rPr>
      </w:pPr>
      <w:r w:rsidRPr="007D6959">
        <w:rPr>
          <w:b/>
          <w:bCs/>
          <w:lang w:eastAsia="en-US"/>
        </w:rPr>
        <w:t xml:space="preserve">Recommendation </w:t>
      </w:r>
      <w:r w:rsidR="008D2C23">
        <w:rPr>
          <w:b/>
          <w:bCs/>
          <w:lang w:eastAsia="en-US"/>
        </w:rPr>
        <w:t>19</w:t>
      </w:r>
    </w:p>
    <w:p w14:paraId="7CFD6BEB" w14:textId="0372D2F7" w:rsidR="007D6959" w:rsidRDefault="00A83B6D" w:rsidP="009F0E13">
      <w:pPr>
        <w:spacing w:line="276" w:lineRule="auto"/>
        <w:ind w:left="709"/>
        <w:rPr>
          <w:b/>
          <w:bCs/>
          <w:lang w:eastAsia="en-US"/>
        </w:rPr>
      </w:pPr>
      <w:r w:rsidRPr="00F11FCE">
        <w:rPr>
          <w:b/>
          <w:bCs/>
          <w:lang w:eastAsia="en-US"/>
        </w:rPr>
        <w:t xml:space="preserve">State and Territory Governments should </w:t>
      </w:r>
      <w:r w:rsidR="00FF5BAC" w:rsidRPr="00F11FCE">
        <w:rPr>
          <w:b/>
          <w:bCs/>
          <w:lang w:eastAsia="en-US"/>
        </w:rPr>
        <w:t xml:space="preserve">invest more in public housing </w:t>
      </w:r>
      <w:r w:rsidR="00993B45" w:rsidRPr="00F11FCE">
        <w:rPr>
          <w:b/>
          <w:bCs/>
          <w:lang w:eastAsia="en-US"/>
        </w:rPr>
        <w:t xml:space="preserve">and ensure </w:t>
      </w:r>
      <w:r w:rsidR="00FF5BAC" w:rsidRPr="00F11FCE">
        <w:rPr>
          <w:b/>
          <w:bCs/>
          <w:lang w:eastAsia="en-US"/>
        </w:rPr>
        <w:t>that</w:t>
      </w:r>
      <w:r w:rsidR="00993B45" w:rsidRPr="00F11FCE">
        <w:rPr>
          <w:b/>
          <w:bCs/>
          <w:lang w:eastAsia="en-US"/>
        </w:rPr>
        <w:t xml:space="preserve"> it</w:t>
      </w:r>
      <w:r w:rsidR="00FF5BAC" w:rsidRPr="00F11FCE">
        <w:rPr>
          <w:b/>
          <w:bCs/>
          <w:lang w:eastAsia="en-US"/>
        </w:rPr>
        <w:t xml:space="preserve"> meets </w:t>
      </w:r>
      <w:r w:rsidR="00993B45" w:rsidRPr="00F11FCE">
        <w:rPr>
          <w:b/>
          <w:bCs/>
          <w:lang w:eastAsia="en-US"/>
        </w:rPr>
        <w:t xml:space="preserve">generally accepted </w:t>
      </w:r>
      <w:r w:rsidR="00FF5BAC" w:rsidRPr="00F11FCE">
        <w:rPr>
          <w:b/>
          <w:bCs/>
          <w:lang w:eastAsia="en-US"/>
        </w:rPr>
        <w:t>community living standards</w:t>
      </w:r>
      <w:r w:rsidR="00993B45" w:rsidRPr="00F11FCE">
        <w:rPr>
          <w:b/>
          <w:bCs/>
          <w:lang w:eastAsia="en-US"/>
        </w:rPr>
        <w:t>.</w:t>
      </w:r>
    </w:p>
    <w:p w14:paraId="6713F238" w14:textId="325D9E2A" w:rsidR="00F11FCE" w:rsidRDefault="00F11FCE" w:rsidP="009F0E13">
      <w:pPr>
        <w:spacing w:line="276" w:lineRule="auto"/>
        <w:ind w:left="709"/>
        <w:rPr>
          <w:b/>
          <w:bCs/>
          <w:lang w:eastAsia="en-US"/>
        </w:rPr>
      </w:pPr>
      <w:r>
        <w:rPr>
          <w:b/>
          <w:bCs/>
          <w:lang w:eastAsia="en-US"/>
        </w:rPr>
        <w:t xml:space="preserve">Recommendation </w:t>
      </w:r>
      <w:r w:rsidR="00572E1F">
        <w:rPr>
          <w:b/>
          <w:bCs/>
          <w:lang w:eastAsia="en-US"/>
        </w:rPr>
        <w:t>2</w:t>
      </w:r>
      <w:r w:rsidR="008D2C23">
        <w:rPr>
          <w:b/>
          <w:bCs/>
          <w:lang w:eastAsia="en-US"/>
        </w:rPr>
        <w:t>0</w:t>
      </w:r>
    </w:p>
    <w:p w14:paraId="366BDB2A" w14:textId="5275D1E2" w:rsidR="00F11FCE" w:rsidRDefault="002A39DA" w:rsidP="009F0E13">
      <w:pPr>
        <w:spacing w:line="276" w:lineRule="auto"/>
        <w:ind w:left="709"/>
        <w:rPr>
          <w:b/>
          <w:bCs/>
          <w:lang w:eastAsia="en-US"/>
        </w:rPr>
      </w:pPr>
      <w:r>
        <w:rPr>
          <w:b/>
          <w:bCs/>
          <w:lang w:eastAsia="en-US"/>
        </w:rPr>
        <w:t xml:space="preserve">State and Territory Governments </w:t>
      </w:r>
      <w:r w:rsidR="001B675F">
        <w:rPr>
          <w:b/>
          <w:bCs/>
          <w:lang w:eastAsia="en-US"/>
        </w:rPr>
        <w:t xml:space="preserve">should invest more in </w:t>
      </w:r>
      <w:r w:rsidR="00B43878">
        <w:rPr>
          <w:b/>
          <w:bCs/>
          <w:lang w:eastAsia="en-US"/>
        </w:rPr>
        <w:t xml:space="preserve">social programs to support </w:t>
      </w:r>
      <w:r w:rsidR="00781F20">
        <w:rPr>
          <w:b/>
          <w:bCs/>
          <w:lang w:eastAsia="en-US"/>
        </w:rPr>
        <w:t xml:space="preserve">and build strong relationships with </w:t>
      </w:r>
      <w:r w:rsidR="00B43878">
        <w:rPr>
          <w:b/>
          <w:bCs/>
          <w:lang w:eastAsia="en-US"/>
        </w:rPr>
        <w:t>public housing residents</w:t>
      </w:r>
      <w:r w:rsidR="00A50C91">
        <w:rPr>
          <w:b/>
          <w:bCs/>
          <w:lang w:eastAsia="en-US"/>
        </w:rPr>
        <w:t>.</w:t>
      </w:r>
    </w:p>
    <w:p w14:paraId="26A788B0" w14:textId="77777777" w:rsidR="00FA6A22" w:rsidRDefault="004271BD" w:rsidP="009F0E13">
      <w:pPr>
        <w:spacing w:line="276" w:lineRule="auto"/>
        <w:ind w:left="709"/>
        <w:rPr>
          <w:lang w:eastAsia="en-US"/>
        </w:rPr>
      </w:pPr>
      <w:r>
        <w:rPr>
          <w:lang w:eastAsia="en-US"/>
        </w:rPr>
        <w:t>OPA supports the statement made by Victorian Council of Social Services CEO Emma King</w:t>
      </w:r>
      <w:r w:rsidR="00262341">
        <w:rPr>
          <w:lang w:eastAsia="en-US"/>
        </w:rPr>
        <w:t xml:space="preserve"> in response to the conditions of the tower lockdowns</w:t>
      </w:r>
      <w:r w:rsidR="00EF57B3">
        <w:rPr>
          <w:lang w:eastAsia="en-US"/>
        </w:rPr>
        <w:t xml:space="preserve">, acknowledging that </w:t>
      </w:r>
      <w:r w:rsidR="0026098D">
        <w:rPr>
          <w:lang w:eastAsia="en-US"/>
        </w:rPr>
        <w:t>‘</w:t>
      </w:r>
      <w:r w:rsidR="00EF57B3">
        <w:rPr>
          <w:lang w:eastAsia="en-US"/>
        </w:rPr>
        <w:t>high-density living can be a</w:t>
      </w:r>
      <w:r w:rsidR="0026098D">
        <w:rPr>
          <w:lang w:eastAsia="en-US"/>
        </w:rPr>
        <w:t xml:space="preserve"> potential</w:t>
      </w:r>
      <w:r w:rsidR="00EF57B3">
        <w:rPr>
          <w:lang w:eastAsia="en-US"/>
        </w:rPr>
        <w:t xml:space="preserve"> incubator for COVID-19</w:t>
      </w:r>
      <w:r w:rsidR="0026098D">
        <w:rPr>
          <w:lang w:eastAsia="en-US"/>
        </w:rPr>
        <w:t>’</w:t>
      </w:r>
      <w:r w:rsidR="00EF57B3">
        <w:rPr>
          <w:lang w:eastAsia="en-US"/>
        </w:rPr>
        <w:t>,</w:t>
      </w:r>
      <w:r w:rsidR="003B0CDE">
        <w:rPr>
          <w:lang w:eastAsia="en-US"/>
        </w:rPr>
        <w:t xml:space="preserve"> and how to do them better</w:t>
      </w:r>
      <w:r w:rsidR="00261EE7">
        <w:rPr>
          <w:lang w:eastAsia="en-US"/>
        </w:rPr>
        <w:t xml:space="preserve"> in future</w:t>
      </w:r>
      <w:r w:rsidR="00352456">
        <w:rPr>
          <w:lang w:eastAsia="en-US"/>
        </w:rPr>
        <w:t xml:space="preserve">. </w:t>
      </w:r>
    </w:p>
    <w:p w14:paraId="0D01BAC0" w14:textId="05A5046D" w:rsidR="00A37E50" w:rsidRDefault="00352456" w:rsidP="009F0E13">
      <w:pPr>
        <w:spacing w:line="276" w:lineRule="auto"/>
        <w:ind w:left="709"/>
        <w:rPr>
          <w:lang w:eastAsia="en-US"/>
        </w:rPr>
      </w:pPr>
      <w:r>
        <w:rPr>
          <w:lang w:eastAsia="en-US"/>
        </w:rPr>
        <w:lastRenderedPageBreak/>
        <w:t xml:space="preserve">This is available to download from </w:t>
      </w:r>
      <w:hyperlink r:id="rId12" w:history="1">
        <w:r w:rsidR="00C508EB" w:rsidRPr="00360971">
          <w:rPr>
            <w:rStyle w:val="Hyperlink"/>
            <w:lang w:eastAsia="en-US"/>
          </w:rPr>
          <w:t>https://vcoss.org.au/analysis/hard-lockdowns-things-to-consider/</w:t>
        </w:r>
      </w:hyperlink>
      <w:r w:rsidR="00261EE7">
        <w:rPr>
          <w:lang w:eastAsia="en-US"/>
        </w:rPr>
        <w:t>.</w:t>
      </w:r>
    </w:p>
    <w:p w14:paraId="12BD5A29" w14:textId="6D242A6E" w:rsidR="00872FCE" w:rsidRDefault="00C508EB" w:rsidP="009F0E13">
      <w:pPr>
        <w:spacing w:line="276" w:lineRule="auto"/>
        <w:ind w:left="709"/>
        <w:rPr>
          <w:lang w:eastAsia="en-US"/>
        </w:rPr>
      </w:pPr>
      <w:r>
        <w:rPr>
          <w:lang w:eastAsia="en-US"/>
        </w:rPr>
        <w:t>OPA also recommends that the Royal Commission</w:t>
      </w:r>
      <w:r w:rsidR="00053A80">
        <w:rPr>
          <w:lang w:eastAsia="en-US"/>
        </w:rPr>
        <w:t xml:space="preserve"> keep abreast of </w:t>
      </w:r>
      <w:r w:rsidR="00380EE3">
        <w:rPr>
          <w:lang w:eastAsia="en-US"/>
        </w:rPr>
        <w:t xml:space="preserve">any reports and findings that come out of the recently </w:t>
      </w:r>
      <w:r w:rsidR="00B110A0">
        <w:rPr>
          <w:lang w:eastAsia="en-US"/>
        </w:rPr>
        <w:t xml:space="preserve">opened investigation </w:t>
      </w:r>
      <w:r w:rsidR="00380EE3">
        <w:rPr>
          <w:lang w:eastAsia="en-US"/>
        </w:rPr>
        <w:t>announced Victorian Ombudsman</w:t>
      </w:r>
      <w:r w:rsidR="00971A23">
        <w:rPr>
          <w:lang w:eastAsia="en-US"/>
        </w:rPr>
        <w:t xml:space="preserve"> </w:t>
      </w:r>
      <w:r w:rsidR="00A53A08">
        <w:rPr>
          <w:lang w:eastAsia="en-US"/>
        </w:rPr>
        <w:t xml:space="preserve">into the </w:t>
      </w:r>
      <w:r w:rsidR="00696683">
        <w:rPr>
          <w:lang w:eastAsia="en-US"/>
        </w:rPr>
        <w:t>14</w:t>
      </w:r>
      <w:r w:rsidR="007E5BBC">
        <w:rPr>
          <w:lang w:eastAsia="en-US"/>
        </w:rPr>
        <w:t>-</w:t>
      </w:r>
      <w:r w:rsidR="00696683">
        <w:rPr>
          <w:lang w:eastAsia="en-US"/>
        </w:rPr>
        <w:t xml:space="preserve">day </w:t>
      </w:r>
      <w:r w:rsidR="00971A23">
        <w:rPr>
          <w:lang w:eastAsia="en-US"/>
        </w:rPr>
        <w:t xml:space="preserve">hard </w:t>
      </w:r>
      <w:r w:rsidR="00A53A08">
        <w:rPr>
          <w:lang w:eastAsia="en-US"/>
        </w:rPr>
        <w:t xml:space="preserve">lockdown of </w:t>
      </w:r>
      <w:r w:rsidR="00971A23">
        <w:rPr>
          <w:lang w:eastAsia="en-US"/>
        </w:rPr>
        <w:t xml:space="preserve">the tower at </w:t>
      </w:r>
      <w:r w:rsidR="00872FCE">
        <w:rPr>
          <w:lang w:eastAsia="en-US"/>
        </w:rPr>
        <w:t>33 Alfred</w:t>
      </w:r>
      <w:r w:rsidR="00971A23">
        <w:rPr>
          <w:lang w:eastAsia="en-US"/>
        </w:rPr>
        <w:t xml:space="preserve"> Street, North Melbourne.</w:t>
      </w:r>
      <w:r w:rsidR="00EA5408">
        <w:rPr>
          <w:lang w:eastAsia="en-US"/>
        </w:rPr>
        <w:t xml:space="preserve"> The Ombudsman said:</w:t>
      </w:r>
    </w:p>
    <w:p w14:paraId="429D9A0D" w14:textId="77777777" w:rsidR="00872FCE" w:rsidRPr="00872FCE" w:rsidRDefault="00872FCE" w:rsidP="00EA5408">
      <w:pPr>
        <w:spacing w:line="276" w:lineRule="auto"/>
        <w:ind w:left="1440"/>
        <w:rPr>
          <w:lang w:eastAsia="en-US"/>
        </w:rPr>
      </w:pPr>
      <w:r w:rsidRPr="00872FCE">
        <w:rPr>
          <w:lang w:eastAsia="en-US"/>
        </w:rPr>
        <w:t>I recognise this is an unprecedented global health emergency and governments must act swiftly to protect human lives. People on the front line are doing an extraordinary job to respond to this crisis and help keep us safe.</w:t>
      </w:r>
    </w:p>
    <w:p w14:paraId="332BCCA6" w14:textId="0168B477" w:rsidR="00872FCE" w:rsidRDefault="00872FCE" w:rsidP="00EA5408">
      <w:pPr>
        <w:spacing w:line="276" w:lineRule="auto"/>
        <w:ind w:left="1440"/>
        <w:rPr>
          <w:lang w:eastAsia="en-US"/>
        </w:rPr>
      </w:pPr>
      <w:r w:rsidRPr="00872FCE">
        <w:rPr>
          <w:lang w:eastAsia="en-US"/>
        </w:rPr>
        <w:t>However, there are lessons to be learnt in how governments can do that in a way that protects people’s human rights, including access to fresh air, exercise and medical supplies.</w:t>
      </w:r>
      <w:r w:rsidR="00667864">
        <w:rPr>
          <w:rStyle w:val="FootnoteReference"/>
          <w:lang w:eastAsia="en-US"/>
        </w:rPr>
        <w:footnoteReference w:id="24"/>
      </w:r>
    </w:p>
    <w:p w14:paraId="0DEFAC99" w14:textId="5381D190" w:rsidR="00F310D7" w:rsidRDefault="00F310D7" w:rsidP="00F310D7">
      <w:pPr>
        <w:spacing w:line="276" w:lineRule="auto"/>
        <w:ind w:left="709"/>
        <w:rPr>
          <w:b/>
          <w:bCs/>
          <w:lang w:eastAsia="en-US"/>
        </w:rPr>
      </w:pPr>
      <w:r w:rsidRPr="00140BE9">
        <w:rPr>
          <w:b/>
          <w:bCs/>
          <w:lang w:eastAsia="en-US"/>
        </w:rPr>
        <w:t xml:space="preserve">Recommendation </w:t>
      </w:r>
      <w:r>
        <w:rPr>
          <w:b/>
          <w:bCs/>
          <w:lang w:eastAsia="en-US"/>
        </w:rPr>
        <w:t>2</w:t>
      </w:r>
      <w:r w:rsidR="008D2C23">
        <w:rPr>
          <w:b/>
          <w:bCs/>
          <w:lang w:eastAsia="en-US"/>
        </w:rPr>
        <w:t>1</w:t>
      </w:r>
    </w:p>
    <w:p w14:paraId="3EBD31F7" w14:textId="77777777" w:rsidR="00F310D7" w:rsidRPr="00140BE9" w:rsidRDefault="00F310D7" w:rsidP="00F310D7">
      <w:pPr>
        <w:spacing w:line="276" w:lineRule="auto"/>
        <w:ind w:left="709"/>
        <w:rPr>
          <w:b/>
          <w:bCs/>
          <w:lang w:eastAsia="en-US"/>
        </w:rPr>
      </w:pPr>
      <w:r>
        <w:rPr>
          <w:b/>
          <w:bCs/>
          <w:lang w:eastAsia="en-US"/>
        </w:rPr>
        <w:t>The Royal Commission should consider recommendations made by the Victorian Ombudsman following her investigation into the tower lockdown, as they come to light.</w:t>
      </w:r>
    </w:p>
    <w:p w14:paraId="22F4A179" w14:textId="5D7F028E" w:rsidR="002B6C0A" w:rsidRPr="00B13112" w:rsidRDefault="00F0725D" w:rsidP="00B13112">
      <w:pPr>
        <w:pStyle w:val="Heading1OPA"/>
        <w:numPr>
          <w:ilvl w:val="0"/>
          <w:numId w:val="16"/>
        </w:numPr>
        <w:ind w:left="709" w:hanging="709"/>
        <w:rPr>
          <w:rFonts w:eastAsia="Times New Roman"/>
          <w:szCs w:val="32"/>
          <w:lang w:eastAsia="en-AU"/>
        </w:rPr>
      </w:pPr>
      <w:bookmarkStart w:id="34" w:name="_Toc46949151"/>
      <w:r>
        <w:t>Planning for a h</w:t>
      </w:r>
      <w:r w:rsidR="00673111">
        <w:t>ealth system resources crisis</w:t>
      </w:r>
      <w:bookmarkEnd w:id="34"/>
    </w:p>
    <w:p w14:paraId="2240E530" w14:textId="3EE6B7DA" w:rsidR="005A7940" w:rsidRDefault="00760A74" w:rsidP="002B6C0A">
      <w:pPr>
        <w:spacing w:line="276" w:lineRule="auto"/>
        <w:ind w:left="709"/>
      </w:pPr>
      <w:r>
        <w:t>Like many disability advocacy organisations</w:t>
      </w:r>
      <w:r w:rsidR="00410DA7">
        <w:t xml:space="preserve">, early in the pandemic OPA became concerned that </w:t>
      </w:r>
      <w:r w:rsidR="00480EF6">
        <w:t xml:space="preserve">if COVID-19 </w:t>
      </w:r>
      <w:r w:rsidR="0008077A">
        <w:t xml:space="preserve">spread widely in the Australian community, our health system would </w:t>
      </w:r>
      <w:r w:rsidR="00823B83">
        <w:t>become overwhelmed by people with COVID-19 requiring acute care</w:t>
      </w:r>
      <w:r w:rsidR="00447777">
        <w:t xml:space="preserve">. At this time </w:t>
      </w:r>
      <w:r w:rsidR="001A6292">
        <w:t xml:space="preserve">distressing scenes were coming out of </w:t>
      </w:r>
      <w:r w:rsidR="00E37CC1">
        <w:t>Italy</w:t>
      </w:r>
      <w:r w:rsidR="00863C05">
        <w:t>:</w:t>
      </w:r>
      <w:r w:rsidR="001A6292">
        <w:t xml:space="preserve"> of exhausted doctors</w:t>
      </w:r>
      <w:r w:rsidR="0032463F">
        <w:t xml:space="preserve">, overcrowded hospitals and </w:t>
      </w:r>
      <w:r w:rsidR="00E749C8">
        <w:t>hospital policies that were limiting access to ventilators</w:t>
      </w:r>
      <w:r w:rsidR="00E740E8">
        <w:t xml:space="preserve"> based on age.</w:t>
      </w:r>
      <w:r w:rsidR="00402613">
        <w:t xml:space="preserve"> Thankfully, Australian hospitals have not yet had to face such difficult choices</w:t>
      </w:r>
      <w:r w:rsidR="00D01055">
        <w:t xml:space="preserve">. However, at the </w:t>
      </w:r>
      <w:r w:rsidR="00D74C03">
        <w:t xml:space="preserve">final </w:t>
      </w:r>
      <w:r w:rsidR="00D01055">
        <w:t xml:space="preserve">time </w:t>
      </w:r>
      <w:r w:rsidR="00D74C03">
        <w:t>of writing</w:t>
      </w:r>
      <w:r w:rsidR="00D01055">
        <w:t>, it is clear the dramatic increase of COVID-19 infections in people living in aged care facilities has challenges the capacity of the public hospital</w:t>
      </w:r>
      <w:r w:rsidR="00D74C03">
        <w:t xml:space="preserve"> system</w:t>
      </w:r>
      <w:r w:rsidR="00D01055">
        <w:t>, necessitating the cooperation of private hospitals.</w:t>
      </w:r>
    </w:p>
    <w:p w14:paraId="1AE06478" w14:textId="35FBF5D2" w:rsidR="002A398F" w:rsidRDefault="002A398F" w:rsidP="002B6C0A">
      <w:pPr>
        <w:spacing w:line="276" w:lineRule="auto"/>
        <w:ind w:left="709"/>
      </w:pPr>
      <w:r w:rsidRPr="002A398F">
        <w:t>Publishing plans to address such an event would help allay fears of people with disability that they would be forgotten during a public health disaster. And, of course, all prevention and mitigation strategies to avert such a scenario should also be put in place.</w:t>
      </w:r>
    </w:p>
    <w:p w14:paraId="31517735" w14:textId="2D401994" w:rsidR="00CE7A77" w:rsidRDefault="004E3D40" w:rsidP="002B6C0A">
      <w:pPr>
        <w:spacing w:line="276" w:lineRule="auto"/>
        <w:ind w:left="709"/>
      </w:pPr>
      <w:r>
        <w:t xml:space="preserve">Following on from </w:t>
      </w:r>
      <w:r w:rsidR="006A06EF">
        <w:t xml:space="preserve">a number of </w:t>
      </w:r>
      <w:r w:rsidR="004217AF">
        <w:t>statements of concern</w:t>
      </w:r>
      <w:r w:rsidR="00651476">
        <w:t xml:space="preserve"> from organisations in the sector</w:t>
      </w:r>
      <w:r w:rsidR="006A06EF">
        <w:t>,</w:t>
      </w:r>
      <w:r w:rsidR="00FB1094">
        <w:rPr>
          <w:rStyle w:val="FootnoteReference"/>
        </w:rPr>
        <w:footnoteReference w:id="25"/>
      </w:r>
      <w:r w:rsidR="006A06EF">
        <w:t xml:space="preserve"> including that of the Royal Commission,</w:t>
      </w:r>
      <w:r w:rsidR="005A0A0F">
        <w:t xml:space="preserve"> OPA published </w:t>
      </w:r>
      <w:r w:rsidR="00336C7B">
        <w:t xml:space="preserve">a position statement titled </w:t>
      </w:r>
      <w:r w:rsidR="0074120E">
        <w:t xml:space="preserve">“An ethical framework for promoting the health of people with disability during the </w:t>
      </w:r>
      <w:r w:rsidR="002F3916">
        <w:t>COVID-19 pandemic”</w:t>
      </w:r>
      <w:r w:rsidR="00336C7B">
        <w:t>.</w:t>
      </w:r>
      <w:r w:rsidR="0062752D">
        <w:t xml:space="preserve"> </w:t>
      </w:r>
      <w:r w:rsidR="00E52117">
        <w:t>The statement is attached to this submission (Attachment A).</w:t>
      </w:r>
      <w:r w:rsidR="006E67C4">
        <w:t xml:space="preserve"> </w:t>
      </w:r>
      <w:r w:rsidR="00A71266">
        <w:t>Points</w:t>
      </w:r>
      <w:r w:rsidR="00F87B50">
        <w:t xml:space="preserve"> two to five of the statement are </w:t>
      </w:r>
      <w:r w:rsidR="00A818FC">
        <w:t>particularly relevant to the planning and responses</w:t>
      </w:r>
      <w:r w:rsidR="00352966">
        <w:t xml:space="preserve"> needed to best manage a health system resources crisis and </w:t>
      </w:r>
      <w:r w:rsidR="005D61C3">
        <w:t xml:space="preserve">will </w:t>
      </w:r>
      <w:r w:rsidR="003E6612">
        <w:t>expand on the</w:t>
      </w:r>
      <w:r w:rsidR="005D61C3">
        <w:t>se points below.</w:t>
      </w:r>
    </w:p>
    <w:p w14:paraId="3B5596A5" w14:textId="475130CB" w:rsidR="00396532" w:rsidRDefault="00422D7B" w:rsidP="00396532">
      <w:pPr>
        <w:pStyle w:val="Heading2OPA"/>
        <w:numPr>
          <w:ilvl w:val="1"/>
          <w:numId w:val="16"/>
        </w:numPr>
        <w:spacing w:line="276" w:lineRule="auto"/>
        <w:ind w:left="709" w:hanging="709"/>
      </w:pPr>
      <w:bookmarkStart w:id="35" w:name="_Toc46949152"/>
      <w:r>
        <w:lastRenderedPageBreak/>
        <w:t>The impact of</w:t>
      </w:r>
      <w:r w:rsidR="00047516">
        <w:t xml:space="preserve"> ‘disaster ethics’</w:t>
      </w:r>
      <w:bookmarkEnd w:id="35"/>
    </w:p>
    <w:p w14:paraId="13B42E51" w14:textId="1903C205" w:rsidR="004F5448" w:rsidRDefault="00A332E0" w:rsidP="007C4844">
      <w:pPr>
        <w:spacing w:line="276" w:lineRule="auto"/>
        <w:ind w:left="709"/>
      </w:pPr>
      <w:r>
        <w:t xml:space="preserve">After our endorsement of the importance and relevance of a human-rights framework for </w:t>
      </w:r>
      <w:r w:rsidR="00AE0F19">
        <w:t>health</w:t>
      </w:r>
      <w:r w:rsidR="007E220E">
        <w:t>-</w:t>
      </w:r>
      <w:r w:rsidR="00AE0F19">
        <w:t xml:space="preserve">related </w:t>
      </w:r>
      <w:r>
        <w:t>decision</w:t>
      </w:r>
      <w:r w:rsidR="00AE0F19">
        <w:t>-</w:t>
      </w:r>
      <w:r>
        <w:t>ma</w:t>
      </w:r>
      <w:r w:rsidR="00AE0F19">
        <w:t>king</w:t>
      </w:r>
      <w:r w:rsidR="007E220E">
        <w:t xml:space="preserve">, OPA </w:t>
      </w:r>
      <w:r w:rsidR="00600D16">
        <w:t>notes</w:t>
      </w:r>
      <w:r w:rsidR="007C4844">
        <w:t xml:space="preserve"> ‘t</w:t>
      </w:r>
      <w:r w:rsidR="00445288" w:rsidRPr="00445288">
        <w:t>hat a medical resources crisis would result in the need for additional guiding principles, including one that is not usually present in medical treatment decision-making</w:t>
      </w:r>
      <w:r w:rsidR="007C4844">
        <w:t>’:</w:t>
      </w:r>
    </w:p>
    <w:p w14:paraId="66643EA5" w14:textId="77777777" w:rsidR="00F310E0" w:rsidRPr="00F310E0" w:rsidRDefault="00F310E0" w:rsidP="00F310E0">
      <w:pPr>
        <w:spacing w:line="276" w:lineRule="auto"/>
        <w:ind w:left="1440"/>
      </w:pPr>
      <w:r w:rsidRPr="00F310E0">
        <w:t>A health system crisis sees a completely new ethical principle enter the frame, one which does not, and should not, normally apply to medical decision-making. Extreme resource scarcity creates resource allocation decisions that are universally acknowledged as difficult and challenging and without a clear moral answer. Ethical responses to this scenario seek to achieve the ‘greatest good’ with the resources that are available, acknowledging that ‘business as usual’ will result in a greater number of deaths overall and so should be avoided.</w:t>
      </w:r>
    </w:p>
    <w:p w14:paraId="2EC42E50" w14:textId="5D582A9B" w:rsidR="00F310E0" w:rsidRPr="00F310E0" w:rsidRDefault="00F310E0" w:rsidP="00F310E0">
      <w:pPr>
        <w:spacing w:line="276" w:lineRule="auto"/>
        <w:ind w:left="1440"/>
      </w:pPr>
      <w:r w:rsidRPr="00F310E0">
        <w:t>Hence, during such a crisis OPA supports an alternative but complementary set of ethical principles: fairness, duty to care, duty to steward resources, transparency, consistency, proportionality and accountability</w:t>
      </w:r>
      <w:r w:rsidR="008D0896">
        <w:t>..</w:t>
      </w:r>
      <w:r w:rsidRPr="00F310E0">
        <w:t>.</w:t>
      </w:r>
    </w:p>
    <w:p w14:paraId="4036F89B" w14:textId="3110CA6C" w:rsidR="00F310E0" w:rsidRDefault="00A01921" w:rsidP="007C4844">
      <w:pPr>
        <w:spacing w:line="276" w:lineRule="auto"/>
        <w:ind w:left="709"/>
      </w:pPr>
      <w:r>
        <w:t>We know that in the absence of a medical resource crisis</w:t>
      </w:r>
      <w:r w:rsidR="009B7D6F">
        <w:t xml:space="preserve">, doctors decide to </w:t>
      </w:r>
      <w:r w:rsidR="000D64CE">
        <w:t xml:space="preserve">offer </w:t>
      </w:r>
      <w:r w:rsidR="009211F7">
        <w:t>treat</w:t>
      </w:r>
      <w:r w:rsidR="000D64CE">
        <w:t>ment to</w:t>
      </w:r>
      <w:r w:rsidR="009211F7">
        <w:t xml:space="preserve"> patients who are likely to benefit from that treatment</w:t>
      </w:r>
      <w:r w:rsidR="000D64CE">
        <w:t>, only drawing the</w:t>
      </w:r>
      <w:r w:rsidR="00564F3F">
        <w:t xml:space="preserve"> line at futile or burdensome treatment</w:t>
      </w:r>
      <w:r w:rsidR="00545500">
        <w:t>. A resources crisis</w:t>
      </w:r>
      <w:r w:rsidR="00F0245C">
        <w:t xml:space="preserve"> would mean that patients who may have benefited from treatment, and recovered, will not always be able to be treated</w:t>
      </w:r>
      <w:r w:rsidR="009833DD">
        <w:t>, and may die.</w:t>
      </w:r>
      <w:r w:rsidR="00656E60">
        <w:t xml:space="preserve"> </w:t>
      </w:r>
    </w:p>
    <w:p w14:paraId="68A56C45" w14:textId="0890E06C" w:rsidR="00121F56" w:rsidRDefault="0009711A" w:rsidP="007C4844">
      <w:pPr>
        <w:spacing w:line="276" w:lineRule="auto"/>
        <w:ind w:left="709"/>
      </w:pPr>
      <w:r>
        <w:t>The decisions about scarce resource allocation</w:t>
      </w:r>
      <w:r w:rsidR="00935F69">
        <w:t xml:space="preserve"> </w:t>
      </w:r>
      <w:r w:rsidR="00546214">
        <w:t xml:space="preserve">that </w:t>
      </w:r>
      <w:r w:rsidR="00DA687F">
        <w:t>occur in disaster scenarios</w:t>
      </w:r>
      <w:r w:rsidR="008449D4">
        <w:t xml:space="preserve"> are </w:t>
      </w:r>
      <w:r w:rsidR="00F5316B">
        <w:t xml:space="preserve">properly those that </w:t>
      </w:r>
      <w:r w:rsidR="003A0CAA">
        <w:t xml:space="preserve">seek to achieve the ‘greatest good’. </w:t>
      </w:r>
      <w:r w:rsidR="00365C52">
        <w:t>This places people with disability</w:t>
      </w:r>
      <w:r w:rsidR="009B7D06">
        <w:t xml:space="preserve">, including many older people, at great disadvantage as </w:t>
      </w:r>
      <w:r w:rsidR="00C63C5D">
        <w:t xml:space="preserve">the </w:t>
      </w:r>
      <w:r w:rsidR="005C61F2">
        <w:t xml:space="preserve">use of limited resources </w:t>
      </w:r>
      <w:r w:rsidR="00C63C5D">
        <w:t>is</w:t>
      </w:r>
      <w:r w:rsidR="00876C45">
        <w:t xml:space="preserve"> directed to those most likely to recover well and in a timely manner</w:t>
      </w:r>
      <w:r w:rsidR="00813D41">
        <w:t xml:space="preserve"> (with the aid of the resource). This is because </w:t>
      </w:r>
      <w:r w:rsidR="006B0DF5">
        <w:t xml:space="preserve">the lives of </w:t>
      </w:r>
      <w:r w:rsidR="00813D41">
        <w:t xml:space="preserve">people with </w:t>
      </w:r>
      <w:r w:rsidR="00A24290">
        <w:t xml:space="preserve">underlying health conditions will, in general, take </w:t>
      </w:r>
      <w:r w:rsidR="006B0DF5">
        <w:t>more time and resources to save.</w:t>
      </w:r>
      <w:r w:rsidR="000C1510">
        <w:t xml:space="preserve"> </w:t>
      </w:r>
      <w:r w:rsidR="00121F56">
        <w:t>OPA further notes that:</w:t>
      </w:r>
    </w:p>
    <w:p w14:paraId="2F7D4DCA" w14:textId="329987F0" w:rsidR="00CE7A77" w:rsidRDefault="00685E8D" w:rsidP="00685E8D">
      <w:pPr>
        <w:spacing w:line="276" w:lineRule="auto"/>
        <w:ind w:left="1440"/>
      </w:pPr>
      <w:r>
        <w:t>[d]</w:t>
      </w:r>
      <w:r w:rsidR="00121F56" w:rsidRPr="00121F56">
        <w:t>etermining ‘a good quality of life’ has a subjective component, and this bias can reduce access to medical treatment for people with disability (especially for people with cognitive impairment) even in non-crisis periods. This bias will be much more dangerous in a time and resource-pressured situation.</w:t>
      </w:r>
    </w:p>
    <w:p w14:paraId="5ED45D40" w14:textId="15DFF894" w:rsidR="009932BC" w:rsidRDefault="00F52873" w:rsidP="002B6C0A">
      <w:pPr>
        <w:spacing w:line="276" w:lineRule="auto"/>
        <w:ind w:left="709"/>
      </w:pPr>
      <w:r>
        <w:t>This is clearly yet another way in which already disa</w:t>
      </w:r>
      <w:r w:rsidR="00DC06A6">
        <w:t>dvantaged people are further disadvantaged and put at risk by a pandemic.</w:t>
      </w:r>
    </w:p>
    <w:p w14:paraId="662D6348" w14:textId="37E1FC52" w:rsidR="007F2784" w:rsidRDefault="00583BE1" w:rsidP="007F2784">
      <w:pPr>
        <w:pStyle w:val="Heading2OPA"/>
        <w:numPr>
          <w:ilvl w:val="1"/>
          <w:numId w:val="16"/>
        </w:numPr>
        <w:spacing w:line="276" w:lineRule="auto"/>
        <w:ind w:left="709" w:hanging="709"/>
      </w:pPr>
      <w:bookmarkStart w:id="36" w:name="_Toc46949153"/>
      <w:r>
        <w:t>Implementing ‘disaster</w:t>
      </w:r>
      <w:r w:rsidR="003C3FC0">
        <w:t xml:space="preserve"> ethics’</w:t>
      </w:r>
      <w:bookmarkEnd w:id="36"/>
    </w:p>
    <w:p w14:paraId="5C020FB6" w14:textId="77777777" w:rsidR="0054422D" w:rsidRDefault="00B17018" w:rsidP="002B6C0A">
      <w:pPr>
        <w:spacing w:line="276" w:lineRule="auto"/>
        <w:ind w:left="709"/>
      </w:pPr>
      <w:r>
        <w:t xml:space="preserve">The world has seen the toll </w:t>
      </w:r>
      <w:r w:rsidR="00D772AC">
        <w:t xml:space="preserve">that implementing ‘disaster ethics’ has </w:t>
      </w:r>
      <w:r w:rsidR="00D47B2C">
        <w:t xml:space="preserve">already </w:t>
      </w:r>
      <w:r w:rsidR="00D772AC">
        <w:t xml:space="preserve">taken </w:t>
      </w:r>
      <w:r>
        <w:t>on doctors</w:t>
      </w:r>
      <w:r w:rsidR="00D772AC">
        <w:t xml:space="preserve"> and nurses during the pandemic</w:t>
      </w:r>
      <w:r w:rsidR="00D47B2C">
        <w:t xml:space="preserve">. </w:t>
      </w:r>
      <w:r w:rsidR="00285F30">
        <w:t xml:space="preserve">The New York Times recently reported on the life and suicide of </w:t>
      </w:r>
      <w:r w:rsidR="009F7817">
        <w:t>a New York doctor who suffered a breakdown after her hospital was overwhelmed by people she couldn’t save</w:t>
      </w:r>
      <w:r w:rsidR="00867763">
        <w:t>.</w:t>
      </w:r>
      <w:r w:rsidR="0009101D">
        <w:rPr>
          <w:rStyle w:val="FootnoteReference"/>
        </w:rPr>
        <w:footnoteReference w:id="26"/>
      </w:r>
      <w:r w:rsidR="00762351">
        <w:t xml:space="preserve"> </w:t>
      </w:r>
      <w:r w:rsidR="005A7CE5">
        <w:t xml:space="preserve">While </w:t>
      </w:r>
      <w:r w:rsidR="00E77B05">
        <w:t xml:space="preserve">many </w:t>
      </w:r>
      <w:r w:rsidR="005A7CE5">
        <w:t xml:space="preserve">hospital staff </w:t>
      </w:r>
      <w:r w:rsidR="00E77B05">
        <w:t xml:space="preserve">who experience these ‘disaster’ scenarios </w:t>
      </w:r>
      <w:r w:rsidR="005A7CE5">
        <w:t>will likely suffer Post-Traumatic Stress Disorder, regardless</w:t>
      </w:r>
      <w:r w:rsidR="004228E4">
        <w:t xml:space="preserve"> of </w:t>
      </w:r>
      <w:r w:rsidR="00ED6203">
        <w:lastRenderedPageBreak/>
        <w:t xml:space="preserve">what implementation </w:t>
      </w:r>
      <w:r w:rsidR="00FE2B4F">
        <w:t>policies or decision-making frameworks</w:t>
      </w:r>
      <w:r w:rsidR="003D0B5E">
        <w:t xml:space="preserve"> are put in place, </w:t>
      </w:r>
      <w:r w:rsidR="008233F5">
        <w:t xml:space="preserve">there is at least one implementation strategy that </w:t>
      </w:r>
      <w:r w:rsidR="00686618">
        <w:t xml:space="preserve">would make a </w:t>
      </w:r>
      <w:r w:rsidR="00DF6882">
        <w:t xml:space="preserve">positive </w:t>
      </w:r>
      <w:r w:rsidR="00686618">
        <w:t>difference.</w:t>
      </w:r>
      <w:r w:rsidR="00620274">
        <w:t xml:space="preserve"> </w:t>
      </w:r>
    </w:p>
    <w:p w14:paraId="4C5014AA" w14:textId="1D6F75BB" w:rsidR="00DC06A6" w:rsidRDefault="00620274" w:rsidP="002B6C0A">
      <w:pPr>
        <w:spacing w:line="276" w:lineRule="auto"/>
        <w:ind w:left="709"/>
      </w:pPr>
      <w:r>
        <w:t xml:space="preserve">Point 5 of </w:t>
      </w:r>
      <w:r w:rsidR="0054422D">
        <w:t>OPA’s position statement succinctly covers this ground:</w:t>
      </w:r>
    </w:p>
    <w:p w14:paraId="518FA8FE" w14:textId="32B5FF61" w:rsidR="00AD1A82" w:rsidRPr="00AD1A82" w:rsidRDefault="00AD1A82" w:rsidP="00AD1A82">
      <w:pPr>
        <w:spacing w:line="276" w:lineRule="auto"/>
        <w:ind w:left="1440"/>
        <w:rPr>
          <w:i/>
          <w:iCs/>
        </w:rPr>
      </w:pPr>
      <w:r w:rsidRPr="00AD1A82">
        <w:rPr>
          <w:i/>
          <w:iCs/>
        </w:rPr>
        <w:t>5. The state has an ethical obligation to avoid front-line medical personnel having to make resource-crisis decisions without support.</w:t>
      </w:r>
    </w:p>
    <w:p w14:paraId="0F52EB5F" w14:textId="77777777" w:rsidR="00AD1A82" w:rsidRPr="00AD1A82" w:rsidRDefault="00AD1A82" w:rsidP="00AD1A82">
      <w:pPr>
        <w:spacing w:line="276" w:lineRule="auto"/>
        <w:ind w:left="1440"/>
      </w:pPr>
      <w:r w:rsidRPr="00AD1A82">
        <w:t>If the nation’s health system is overwhelmed and treating clinicians are left to do their best with the resources they have to hand, not only will they experience moral injury (from making decisions about who should have a chance at life), they may also bring unconscious biases to their decision-making which may disadvantage people with disability.</w:t>
      </w:r>
    </w:p>
    <w:p w14:paraId="7B1C5FD8" w14:textId="5A6A8F32" w:rsidR="00AD1A82" w:rsidRPr="00AD1A82" w:rsidRDefault="00AD1A82" w:rsidP="00AD1A82">
      <w:pPr>
        <w:spacing w:line="276" w:lineRule="auto"/>
        <w:ind w:left="1440"/>
      </w:pPr>
      <w:r w:rsidRPr="00AD1A82">
        <w:t>The state must ensure that, in the event of a resource crisis, an ethical decision-making system is instituted that removes critical resource allocation decisions from the treating team.</w:t>
      </w:r>
    </w:p>
    <w:p w14:paraId="5804541C" w14:textId="407FBA83" w:rsidR="00AD1A82" w:rsidRDefault="00F7197E" w:rsidP="002B6C0A">
      <w:pPr>
        <w:spacing w:line="276" w:lineRule="auto"/>
        <w:ind w:left="709"/>
      </w:pPr>
      <w:r>
        <w:t xml:space="preserve">Further information on what such a system </w:t>
      </w:r>
      <w:r w:rsidR="009F6F09">
        <w:t>might look like</w:t>
      </w:r>
      <w:r w:rsidR="0014333A">
        <w:t xml:space="preserve"> can be found in </w:t>
      </w:r>
      <w:r w:rsidR="004A1569">
        <w:t>plans for such events developed, pre-COVID-19, in the USA</w:t>
      </w:r>
      <w:r w:rsidR="00C96BB6">
        <w:t xml:space="preserve">. </w:t>
      </w:r>
      <w:r w:rsidR="002673C4">
        <w:t xml:space="preserve">Here a resources crisis </w:t>
      </w:r>
      <w:r w:rsidR="00E5507D">
        <w:t>i</w:t>
      </w:r>
      <w:r w:rsidR="002673C4">
        <w:t xml:space="preserve">s known as a ‘crisis standard of care’ scenario. </w:t>
      </w:r>
      <w:r w:rsidR="007A355B">
        <w:t>A publication of a series of workshops on crisis standards of care summarise</w:t>
      </w:r>
      <w:r w:rsidR="00A8469C">
        <w:t xml:space="preserve"> the thinking behind the importance of being prepared for such events:</w:t>
      </w:r>
    </w:p>
    <w:p w14:paraId="67ABFF69" w14:textId="78EB2E1D" w:rsidR="003C3FC0" w:rsidRDefault="00B95518" w:rsidP="00EB255A">
      <w:pPr>
        <w:spacing w:line="276" w:lineRule="auto"/>
        <w:ind w:left="1440"/>
      </w:pPr>
      <w:r w:rsidRPr="00EB255A">
        <w:t>In recent years,</w:t>
      </w:r>
      <w:r w:rsidR="00EB255A">
        <w:t xml:space="preserve"> </w:t>
      </w:r>
      <w:r w:rsidRPr="00EB255A">
        <w:t xml:space="preserve">a number of federal, state, and local efforts </w:t>
      </w:r>
      <w:r w:rsidR="00EB255A" w:rsidRPr="00EB255A">
        <w:t>[in the USA]</w:t>
      </w:r>
      <w:r w:rsidRPr="00EB255A">
        <w:t xml:space="preserve"> have taken place to develop crisis standards of care protocols and policies for use in conditions of overwhelming resource scarcity. Those involved in these efforts have begun to carefully consider these difficult issues and to develop plans that are ethical, consistent with the community’s values,</w:t>
      </w:r>
      <w:r w:rsidR="00EB255A">
        <w:t xml:space="preserve"> </w:t>
      </w:r>
      <w:r w:rsidRPr="00EB255A">
        <w:t>and implementable during a crisis. These planning efforts are essential because, absent careful planning, there is enormous potential for confusion, chaos,</w:t>
      </w:r>
      <w:r w:rsidR="00EB255A">
        <w:t xml:space="preserve"> </w:t>
      </w:r>
      <w:r w:rsidRPr="00EB255A">
        <w:t>and flawed decision making in a catastrophic public health emergency or disaster.</w:t>
      </w:r>
      <w:r w:rsidR="000665F7">
        <w:rPr>
          <w:rStyle w:val="FootnoteReference"/>
        </w:rPr>
        <w:footnoteReference w:id="27"/>
      </w:r>
    </w:p>
    <w:p w14:paraId="1B11637C" w14:textId="77777777" w:rsidR="009E527F" w:rsidRDefault="006472CE" w:rsidP="002B6C0A">
      <w:pPr>
        <w:spacing w:line="276" w:lineRule="auto"/>
        <w:ind w:left="709"/>
      </w:pPr>
      <w:r>
        <w:t xml:space="preserve">This paragraph demonstrates the key role community </w:t>
      </w:r>
      <w:r w:rsidR="001B0ED3">
        <w:t>values and buy-in play in the success of such strategies, and the implications of being unprepared.</w:t>
      </w:r>
    </w:p>
    <w:p w14:paraId="5995B874" w14:textId="50E6CFAA" w:rsidR="003C3FC0" w:rsidRDefault="00A933CD" w:rsidP="00467B11">
      <w:pPr>
        <w:spacing w:line="276" w:lineRule="auto"/>
        <w:ind w:left="709"/>
      </w:pPr>
      <w:r>
        <w:t xml:space="preserve">A potential operational framework for </w:t>
      </w:r>
      <w:r w:rsidR="0077522A">
        <w:t xml:space="preserve">OPA’s recommendation above, that </w:t>
      </w:r>
      <w:r w:rsidR="00D04D81">
        <w:t xml:space="preserve">critical resource allocation decisions should be removed from the treating team </w:t>
      </w:r>
      <w:r w:rsidR="0043209F">
        <w:t>(</w:t>
      </w:r>
      <w:r w:rsidR="00D04D81">
        <w:t xml:space="preserve">enabling them to advocate for their patients to </w:t>
      </w:r>
      <w:r w:rsidR="00F04833">
        <w:t>the decision-makers</w:t>
      </w:r>
      <w:r w:rsidR="0043209F">
        <w:t>)</w:t>
      </w:r>
      <w:r w:rsidR="00F04833">
        <w:t>, is</w:t>
      </w:r>
      <w:r w:rsidR="00F33DCF">
        <w:t xml:space="preserve"> </w:t>
      </w:r>
      <w:r w:rsidR="00A85685">
        <w:t xml:space="preserve">detailed </w:t>
      </w:r>
      <w:r w:rsidR="00F33DCF">
        <w:t>in</w:t>
      </w:r>
      <w:r w:rsidR="00A85685">
        <w:t xml:space="preserve"> section three of the 2010 paper:  </w:t>
      </w:r>
      <w:r w:rsidR="00A94F3A">
        <w:t>‘Meeting The Challenge Of Pandemic Influenza: Ethical Guidance For Leaders And Health Care Professionals In The Veterans Health Administration’</w:t>
      </w:r>
      <w:r w:rsidR="00D1292C">
        <w:t>.</w:t>
      </w:r>
      <w:r w:rsidR="00DA0C20">
        <w:rPr>
          <w:rStyle w:val="FootnoteReference"/>
        </w:rPr>
        <w:footnoteReference w:id="28"/>
      </w:r>
      <w:r w:rsidR="002D4C58">
        <w:t xml:space="preserve"> This document advises the establishment of a Scarce Resources Allocation (SRA) Team (prior to any emergency)</w:t>
      </w:r>
      <w:r w:rsidR="00641CA6">
        <w:t>, noting that:</w:t>
      </w:r>
    </w:p>
    <w:p w14:paraId="41B99715" w14:textId="5EA458BE" w:rsidR="00641CA6" w:rsidRDefault="00641CA6" w:rsidP="00641CA6">
      <w:pPr>
        <w:spacing w:line="276" w:lineRule="auto"/>
        <w:ind w:left="1440"/>
      </w:pPr>
      <w:r w:rsidRPr="00641CA6">
        <w:t xml:space="preserve">In a context of increasing scarcity of resources, </w:t>
      </w:r>
      <w:r w:rsidR="009E1E6E">
        <w:t xml:space="preserve">[activating] </w:t>
      </w:r>
      <w:r w:rsidRPr="00641CA6">
        <w:t xml:space="preserve">the </w:t>
      </w:r>
      <w:r>
        <w:t xml:space="preserve">[SRA] </w:t>
      </w:r>
      <w:r w:rsidRPr="00641CA6">
        <w:t xml:space="preserve">team provides a structure for addressing the inevitable tensions that arise between clinicians’ </w:t>
      </w:r>
      <w:r w:rsidRPr="00641CA6">
        <w:lastRenderedPageBreak/>
        <w:t>professional commitment to individual patients and the simultaneous goal of maximizing the survivability of the greatest numbers of persons</w:t>
      </w:r>
      <w:r w:rsidR="009F5750">
        <w:t>.</w:t>
      </w:r>
      <w:r w:rsidR="009F5750">
        <w:rPr>
          <w:rStyle w:val="FootnoteReference"/>
        </w:rPr>
        <w:footnoteReference w:id="29"/>
      </w:r>
    </w:p>
    <w:p w14:paraId="61ED6383" w14:textId="5EE15F95" w:rsidR="009E1E6E" w:rsidRDefault="00C47F15" w:rsidP="009E1E6E">
      <w:pPr>
        <w:spacing w:line="276" w:lineRule="auto"/>
        <w:ind w:left="709"/>
      </w:pPr>
      <w:r>
        <w:t xml:space="preserve">Further details of this team, </w:t>
      </w:r>
      <w:r w:rsidR="00A44213">
        <w:t xml:space="preserve">including </w:t>
      </w:r>
      <w:r>
        <w:t>membership and roles</w:t>
      </w:r>
      <w:r w:rsidR="00A44213">
        <w:t>, can be found in Attachment B.</w:t>
      </w:r>
    </w:p>
    <w:p w14:paraId="41AB4ACD" w14:textId="47C684EE" w:rsidR="00944944" w:rsidRDefault="00245C73" w:rsidP="009E1E6E">
      <w:pPr>
        <w:spacing w:line="276" w:lineRule="auto"/>
        <w:ind w:left="709"/>
        <w:rPr>
          <w:b/>
          <w:bCs/>
        </w:rPr>
      </w:pPr>
      <w:r w:rsidRPr="00245C73">
        <w:rPr>
          <w:b/>
          <w:bCs/>
        </w:rPr>
        <w:t xml:space="preserve">Recommendation </w:t>
      </w:r>
      <w:r w:rsidR="00D47E3C">
        <w:rPr>
          <w:b/>
          <w:bCs/>
        </w:rPr>
        <w:t>22</w:t>
      </w:r>
    </w:p>
    <w:p w14:paraId="265AB19D" w14:textId="63616207" w:rsidR="00A374F8" w:rsidRDefault="00EF4EAC" w:rsidP="009E1E6E">
      <w:pPr>
        <w:spacing w:line="276" w:lineRule="auto"/>
        <w:ind w:left="709"/>
        <w:rPr>
          <w:b/>
          <w:bCs/>
        </w:rPr>
      </w:pPr>
      <w:r>
        <w:rPr>
          <w:b/>
          <w:bCs/>
        </w:rPr>
        <w:t>Australian, State and Territory Health Departments</w:t>
      </w:r>
      <w:r w:rsidR="00E5657C">
        <w:rPr>
          <w:b/>
          <w:bCs/>
        </w:rPr>
        <w:t xml:space="preserve"> should mandate the creation of </w:t>
      </w:r>
      <w:r w:rsidR="009A4E86">
        <w:rPr>
          <w:b/>
          <w:bCs/>
        </w:rPr>
        <w:t>Scarce Allocation Resource Teams</w:t>
      </w:r>
      <w:r w:rsidR="00D35D1E">
        <w:rPr>
          <w:b/>
          <w:bCs/>
        </w:rPr>
        <w:t xml:space="preserve"> </w:t>
      </w:r>
      <w:r w:rsidR="00313035">
        <w:rPr>
          <w:b/>
          <w:bCs/>
        </w:rPr>
        <w:t xml:space="preserve">in hospitals </w:t>
      </w:r>
      <w:r w:rsidR="009D2761">
        <w:rPr>
          <w:b/>
          <w:bCs/>
        </w:rPr>
        <w:t>across the country</w:t>
      </w:r>
      <w:r w:rsidR="00EF31A0">
        <w:rPr>
          <w:b/>
          <w:bCs/>
        </w:rPr>
        <w:t xml:space="preserve"> in preparation for </w:t>
      </w:r>
      <w:r w:rsidR="0054493B">
        <w:rPr>
          <w:b/>
          <w:bCs/>
        </w:rPr>
        <w:t>a health system resources crisis.</w:t>
      </w:r>
    </w:p>
    <w:p w14:paraId="529D04FF" w14:textId="7F28D40C" w:rsidR="00245C73" w:rsidRPr="00245C73" w:rsidRDefault="00A374F8" w:rsidP="00802475">
      <w:pPr>
        <w:spacing w:before="0" w:after="0"/>
        <w:rPr>
          <w:b/>
          <w:bCs/>
        </w:rPr>
      </w:pPr>
      <w:r>
        <w:rPr>
          <w:b/>
          <w:bCs/>
        </w:rPr>
        <w:br w:type="page"/>
      </w:r>
    </w:p>
    <w:p w14:paraId="048185B0" w14:textId="2D15A5FA" w:rsidR="009932BC" w:rsidRPr="00B13112" w:rsidRDefault="009932BC" w:rsidP="009932BC">
      <w:pPr>
        <w:pStyle w:val="Heading1OPA"/>
        <w:numPr>
          <w:ilvl w:val="0"/>
          <w:numId w:val="16"/>
        </w:numPr>
        <w:ind w:left="709" w:hanging="709"/>
        <w:rPr>
          <w:rFonts w:eastAsia="Times New Roman"/>
          <w:szCs w:val="32"/>
          <w:lang w:eastAsia="en-AU"/>
        </w:rPr>
      </w:pPr>
      <w:bookmarkStart w:id="37" w:name="_Toc46949154"/>
      <w:r>
        <w:lastRenderedPageBreak/>
        <w:t>Attachment A</w:t>
      </w:r>
      <w:r w:rsidR="00A823B4">
        <w:t>: OPA Position Statement</w:t>
      </w:r>
      <w:bookmarkEnd w:id="37"/>
    </w:p>
    <w:p w14:paraId="3BBC94BA" w14:textId="77777777" w:rsidR="00261398" w:rsidRDefault="00261398" w:rsidP="00261398">
      <w:pPr>
        <w:pStyle w:val="Heading4"/>
        <w:spacing w:before="0" w:after="319"/>
        <w:rPr>
          <w:rFonts w:ascii="&amp;quot" w:hAnsi="&amp;quot" w:cs="Times New Roman"/>
          <w:b w:val="0"/>
          <w:bCs w:val="0"/>
          <w:color w:val="333333"/>
          <w:szCs w:val="24"/>
        </w:rPr>
      </w:pPr>
      <w:r>
        <w:rPr>
          <w:rFonts w:ascii="&amp;quot" w:hAnsi="&amp;quot"/>
          <w:b w:val="0"/>
          <w:bCs w:val="0"/>
          <w:color w:val="333333"/>
        </w:rPr>
        <w:t>1. OPA endorses the use of human rights-based frameworks for decision-making, highlighting the importance of supported decision-making principles and practices.</w:t>
      </w:r>
    </w:p>
    <w:p w14:paraId="4CA27F5B" w14:textId="77777777" w:rsidR="00261398" w:rsidRDefault="00261398" w:rsidP="00261398">
      <w:pPr>
        <w:pStyle w:val="NormalWeb"/>
        <w:spacing w:before="30" w:after="270" w:line="276" w:lineRule="auto"/>
        <w:rPr>
          <w:rFonts w:ascii="&amp;quot" w:hAnsi="&amp;quot"/>
          <w:color w:val="333333"/>
          <w:sz w:val="19"/>
          <w:szCs w:val="19"/>
        </w:rPr>
      </w:pPr>
      <w:r>
        <w:rPr>
          <w:rFonts w:ascii="&amp;quot" w:hAnsi="&amp;quot"/>
          <w:color w:val="333333"/>
          <w:sz w:val="19"/>
          <w:szCs w:val="19"/>
        </w:rPr>
        <w:t xml:space="preserve">OPA recommends the six ethical principles for decision-making developed by leading Australian experts and published in their statement of concern, </w:t>
      </w:r>
      <w:hyperlink r:id="rId13" w:history="1">
        <w:r>
          <w:rPr>
            <w:rStyle w:val="Hyperlink"/>
            <w:rFonts w:ascii="&amp;quot" w:hAnsi="&amp;quot"/>
            <w:sz w:val="19"/>
            <w:szCs w:val="19"/>
          </w:rPr>
          <w:t>COVID-19: Human Rights, Disability and Ethical Decision-Making</w:t>
        </w:r>
      </w:hyperlink>
      <w:r>
        <w:rPr>
          <w:rFonts w:ascii="&amp;quot" w:hAnsi="&amp;quot"/>
          <w:color w:val="333333"/>
          <w:sz w:val="19"/>
          <w:szCs w:val="19"/>
        </w:rPr>
        <w:t>.</w:t>
      </w:r>
    </w:p>
    <w:p w14:paraId="10FCB375" w14:textId="77777777" w:rsidR="00261398" w:rsidRDefault="00261398" w:rsidP="00261398">
      <w:pPr>
        <w:pStyle w:val="NormalWeb"/>
        <w:spacing w:before="30" w:after="270" w:line="276" w:lineRule="auto"/>
        <w:rPr>
          <w:rFonts w:ascii="&amp;quot" w:hAnsi="&amp;quot"/>
          <w:color w:val="333333"/>
          <w:sz w:val="19"/>
          <w:szCs w:val="19"/>
        </w:rPr>
      </w:pPr>
      <w:r>
        <w:rPr>
          <w:rFonts w:ascii="&amp;quot" w:hAnsi="&amp;quot"/>
          <w:color w:val="333333"/>
          <w:sz w:val="19"/>
          <w:szCs w:val="19"/>
        </w:rPr>
        <w:t>OPA notes that it may not always be possible to attain the “free and informed consent of the person with disability” for medical treatment where they have a cognitive impairment. Hence, OPA adds to this framework the importance of following established supported decision-making principles and practices in circumstances where obtaining a person’s free and informed consent without support is not possible.</w:t>
      </w:r>
    </w:p>
    <w:p w14:paraId="497D4A79" w14:textId="77777777" w:rsidR="00261398" w:rsidRDefault="00261398" w:rsidP="00261398">
      <w:pPr>
        <w:pStyle w:val="Heading4"/>
        <w:spacing w:before="0" w:after="319" w:line="276" w:lineRule="auto"/>
        <w:rPr>
          <w:rFonts w:ascii="&amp;quot" w:hAnsi="&amp;quot"/>
          <w:b w:val="0"/>
          <w:bCs w:val="0"/>
          <w:color w:val="333333"/>
          <w:szCs w:val="24"/>
        </w:rPr>
      </w:pPr>
      <w:r>
        <w:rPr>
          <w:rFonts w:ascii="&amp;quot" w:hAnsi="&amp;quot"/>
          <w:b w:val="0"/>
          <w:bCs w:val="0"/>
          <w:color w:val="333333"/>
        </w:rPr>
        <w:t>2. OPA notes that a medical resources crisis would result in the need for additional guiding principles, including one that is not usually present in medical treatment decision-making.</w:t>
      </w:r>
    </w:p>
    <w:p w14:paraId="669EDBEC" w14:textId="77777777" w:rsidR="00261398" w:rsidRDefault="00261398" w:rsidP="00261398">
      <w:pPr>
        <w:pStyle w:val="NormalWeb"/>
        <w:spacing w:before="30" w:after="270" w:line="276" w:lineRule="auto"/>
        <w:rPr>
          <w:rFonts w:ascii="&amp;quot" w:hAnsi="&amp;quot"/>
          <w:color w:val="333333"/>
          <w:sz w:val="19"/>
          <w:szCs w:val="19"/>
        </w:rPr>
      </w:pPr>
      <w:r>
        <w:rPr>
          <w:rFonts w:ascii="&amp;quot" w:hAnsi="&amp;quot"/>
          <w:color w:val="333333"/>
          <w:sz w:val="19"/>
          <w:szCs w:val="19"/>
        </w:rPr>
        <w:t>A health system crisis sees a completely new ethical principle enter the frame, one which does not, and should not, normally apply to medical decision-making. Extreme resource scarcity creates resource allocation decisions that are universally acknowledged as difficult and challenging and without a clear moral answer. Ethical responses to this scenario seek to achieve the ‘greatest good’ with the resources that are available, acknowledging that ‘business as usual’ will result in a greater number of deaths overall and so should be avoided.</w:t>
      </w:r>
    </w:p>
    <w:p w14:paraId="7767D003" w14:textId="77777777" w:rsidR="00261398" w:rsidRDefault="00261398" w:rsidP="00261398">
      <w:pPr>
        <w:pStyle w:val="NormalWeb"/>
        <w:spacing w:before="30" w:after="270" w:line="276" w:lineRule="auto"/>
        <w:rPr>
          <w:rFonts w:ascii="&amp;quot" w:hAnsi="&amp;quot"/>
          <w:color w:val="333333"/>
          <w:sz w:val="19"/>
          <w:szCs w:val="19"/>
        </w:rPr>
      </w:pPr>
      <w:r>
        <w:rPr>
          <w:rFonts w:ascii="&amp;quot" w:hAnsi="&amp;quot"/>
          <w:color w:val="333333"/>
          <w:sz w:val="19"/>
          <w:szCs w:val="19"/>
        </w:rPr>
        <w:t>Hence, during such a crisis OPA supports an alternative but complementary set of ethical principles: fairness, duty to care, duty to steward resources, transparency, consistency, proportionality and accountability. Noting that the fairness principle incorporates the disability-specific principles outlined above.</w:t>
      </w:r>
    </w:p>
    <w:p w14:paraId="64A3F6C7" w14:textId="77777777" w:rsidR="00261398" w:rsidRDefault="00261398" w:rsidP="00261398">
      <w:pPr>
        <w:pStyle w:val="Heading4"/>
        <w:spacing w:before="0" w:after="319"/>
        <w:rPr>
          <w:rFonts w:ascii="&amp;quot" w:hAnsi="&amp;quot"/>
          <w:b w:val="0"/>
          <w:bCs w:val="0"/>
          <w:color w:val="333333"/>
          <w:szCs w:val="24"/>
        </w:rPr>
      </w:pPr>
      <w:r>
        <w:rPr>
          <w:rFonts w:ascii="&amp;quot" w:hAnsi="&amp;quot"/>
          <w:b w:val="0"/>
          <w:bCs w:val="0"/>
          <w:color w:val="333333"/>
        </w:rPr>
        <w:t>3. OPA acknowledges the additional and disproportionate risks of health system crisis for people with disability and older people.</w:t>
      </w:r>
    </w:p>
    <w:p w14:paraId="013F1B85" w14:textId="77777777" w:rsidR="00261398" w:rsidRDefault="00261398" w:rsidP="00261398">
      <w:pPr>
        <w:pStyle w:val="NormalWeb"/>
        <w:spacing w:before="30" w:after="270" w:line="276" w:lineRule="auto"/>
        <w:rPr>
          <w:rFonts w:ascii="&amp;quot" w:hAnsi="&amp;quot"/>
          <w:color w:val="333333"/>
          <w:sz w:val="19"/>
          <w:szCs w:val="19"/>
        </w:rPr>
      </w:pPr>
      <w:r>
        <w:rPr>
          <w:rFonts w:ascii="&amp;quot" w:hAnsi="&amp;quot"/>
          <w:color w:val="000000"/>
          <w:sz w:val="19"/>
          <w:szCs w:val="19"/>
        </w:rPr>
        <w:t>While COVID-19 already is known for the greater toll it takes on the elderly and people with comorbidities</w:t>
      </w:r>
      <w:bookmarkStart w:id="38" w:name="_ftnref1"/>
      <w:r>
        <w:rPr>
          <w:rFonts w:ascii="&amp;quot" w:hAnsi="&amp;quot"/>
          <w:color w:val="000000"/>
          <w:sz w:val="19"/>
          <w:szCs w:val="19"/>
        </w:rPr>
        <w:fldChar w:fldCharType="begin"/>
      </w:r>
      <w:r>
        <w:rPr>
          <w:rFonts w:ascii="&amp;quot" w:hAnsi="&amp;quot"/>
          <w:color w:val="000000"/>
          <w:sz w:val="19"/>
          <w:szCs w:val="19"/>
        </w:rPr>
        <w:instrText xml:space="preserve"> HYPERLINK "https://www.publicadvocate.vic.gov.au/media-centre/405-position-statement-promoting-the-health-of-pwd-during-covid-19" \l "ftn1" </w:instrText>
      </w:r>
      <w:r>
        <w:rPr>
          <w:rFonts w:ascii="&amp;quot" w:hAnsi="&amp;quot"/>
          <w:color w:val="000000"/>
          <w:sz w:val="19"/>
          <w:szCs w:val="19"/>
        </w:rPr>
        <w:fldChar w:fldCharType="separate"/>
      </w:r>
      <w:r>
        <w:rPr>
          <w:rStyle w:val="Hyperlink"/>
          <w:rFonts w:ascii="&amp;quot" w:hAnsi="&amp;quot"/>
          <w:sz w:val="19"/>
          <w:szCs w:val="19"/>
          <w:vertAlign w:val="superscript"/>
        </w:rPr>
        <w:t>[1]</w:t>
      </w:r>
      <w:r>
        <w:rPr>
          <w:rFonts w:ascii="&amp;quot" w:hAnsi="&amp;quot"/>
          <w:color w:val="000000"/>
          <w:sz w:val="19"/>
          <w:szCs w:val="19"/>
        </w:rPr>
        <w:fldChar w:fldCharType="end"/>
      </w:r>
      <w:bookmarkEnd w:id="38"/>
      <w:r>
        <w:rPr>
          <w:rFonts w:ascii="&amp;quot" w:hAnsi="&amp;quot"/>
          <w:color w:val="333333"/>
          <w:sz w:val="19"/>
          <w:szCs w:val="19"/>
        </w:rPr>
        <w:t>, OPA notes that determining ‘a good quality of life’ has a subjective component, and this bias can reduce access to medical treatment for people with disability (especially for people with cognitive impairment) even in non-crisis periods. This bias will be much more dangerous in a time and resource-pressured situation.</w:t>
      </w:r>
    </w:p>
    <w:p w14:paraId="6D0F6E04" w14:textId="77777777" w:rsidR="00261398" w:rsidRDefault="00261398" w:rsidP="00261398">
      <w:pPr>
        <w:pStyle w:val="Heading4"/>
        <w:spacing w:before="0" w:after="319"/>
        <w:rPr>
          <w:rFonts w:ascii="&amp;quot" w:hAnsi="&amp;quot"/>
          <w:b w:val="0"/>
          <w:bCs w:val="0"/>
          <w:color w:val="333333"/>
          <w:szCs w:val="24"/>
        </w:rPr>
      </w:pPr>
      <w:r>
        <w:rPr>
          <w:rFonts w:ascii="&amp;quot" w:hAnsi="&amp;quot"/>
          <w:b w:val="0"/>
          <w:bCs w:val="0"/>
          <w:color w:val="333333"/>
        </w:rPr>
        <w:t>4. The state has an ethical obligation to avoid having to make ‘crisis’ decisions by implementing preparation and mitigation strategies.</w:t>
      </w:r>
    </w:p>
    <w:p w14:paraId="03FC9235" w14:textId="77777777" w:rsidR="00261398" w:rsidRDefault="00261398" w:rsidP="00261398">
      <w:pPr>
        <w:pStyle w:val="NormalWeb"/>
        <w:spacing w:before="30" w:after="270" w:line="276" w:lineRule="auto"/>
        <w:rPr>
          <w:rFonts w:ascii="&amp;quot" w:hAnsi="&amp;quot"/>
          <w:color w:val="333333"/>
          <w:sz w:val="19"/>
          <w:szCs w:val="19"/>
        </w:rPr>
      </w:pPr>
      <w:r>
        <w:rPr>
          <w:rFonts w:ascii="&amp;quot" w:hAnsi="&amp;quot"/>
          <w:color w:val="000000"/>
          <w:sz w:val="19"/>
          <w:szCs w:val="19"/>
        </w:rPr>
        <w:t>In working together to flatten the curve of the pandemic trajectory and prepare for potential spikes in COVID-19 cases, Australia’s Federal, State and Territory governments have successfully met this ethical obligation to the population. OPA hopes the governments of Australia can continue to be successful in this.</w:t>
      </w:r>
    </w:p>
    <w:p w14:paraId="0B81B8EC" w14:textId="77777777" w:rsidR="00261398" w:rsidRDefault="00261398" w:rsidP="00261398">
      <w:pPr>
        <w:pStyle w:val="Heading4"/>
        <w:spacing w:before="0" w:after="319" w:line="276" w:lineRule="auto"/>
        <w:rPr>
          <w:rFonts w:ascii="&amp;quot" w:hAnsi="&amp;quot"/>
          <w:b w:val="0"/>
          <w:bCs w:val="0"/>
          <w:color w:val="333333"/>
          <w:szCs w:val="24"/>
        </w:rPr>
      </w:pPr>
      <w:r>
        <w:rPr>
          <w:rFonts w:ascii="&amp;quot" w:hAnsi="&amp;quot"/>
          <w:b w:val="0"/>
          <w:bCs w:val="0"/>
          <w:color w:val="333333"/>
        </w:rPr>
        <w:t>5. The state has an ethical obligation to avoid front-line medical personnel having to make resource-crisis decisions without support.</w:t>
      </w:r>
    </w:p>
    <w:p w14:paraId="0A9FFC05" w14:textId="77777777" w:rsidR="00261398" w:rsidRDefault="00261398" w:rsidP="00261398">
      <w:pPr>
        <w:pStyle w:val="NormalWeb"/>
        <w:spacing w:before="30" w:after="270" w:line="276" w:lineRule="auto"/>
        <w:rPr>
          <w:rFonts w:ascii="&amp;quot" w:hAnsi="&amp;quot"/>
          <w:color w:val="333333"/>
          <w:sz w:val="19"/>
          <w:szCs w:val="19"/>
        </w:rPr>
      </w:pPr>
      <w:r>
        <w:rPr>
          <w:rFonts w:ascii="&amp;quot" w:hAnsi="&amp;quot"/>
          <w:color w:val="000000"/>
          <w:sz w:val="19"/>
          <w:szCs w:val="19"/>
        </w:rPr>
        <w:t>If the nation’s health system is overwhelmed and treating clinicians are left to do their best with the resources they have to hand, not only will they experience moral injury (from making decisions about who should have a chance at life), they may also bring unconscious biases to their decision-making which may disadvantage people with disability.</w:t>
      </w:r>
    </w:p>
    <w:p w14:paraId="36940DD4" w14:textId="77777777" w:rsidR="00261398" w:rsidRDefault="00261398" w:rsidP="00261398">
      <w:pPr>
        <w:pStyle w:val="NormalWeb"/>
        <w:spacing w:before="30" w:after="270" w:line="276" w:lineRule="auto"/>
        <w:rPr>
          <w:rFonts w:ascii="&amp;quot" w:hAnsi="&amp;quot"/>
          <w:color w:val="333333"/>
          <w:sz w:val="19"/>
          <w:szCs w:val="19"/>
        </w:rPr>
      </w:pPr>
      <w:r>
        <w:rPr>
          <w:rFonts w:ascii="&amp;quot" w:hAnsi="&amp;quot"/>
          <w:color w:val="000000"/>
          <w:sz w:val="19"/>
          <w:szCs w:val="19"/>
        </w:rPr>
        <w:t>The state must ensure that, in the event of a resource crisis, an ethical decision-making system is instituted that removes critical resource allocation decisions from the treating team. </w:t>
      </w:r>
    </w:p>
    <w:p w14:paraId="68E358D4" w14:textId="77777777" w:rsidR="00261398" w:rsidRDefault="00261398" w:rsidP="00261398">
      <w:pPr>
        <w:pStyle w:val="Heading4"/>
        <w:spacing w:before="0" w:after="319" w:line="276" w:lineRule="auto"/>
        <w:rPr>
          <w:rFonts w:ascii="&amp;quot" w:hAnsi="&amp;quot"/>
          <w:b w:val="0"/>
          <w:bCs w:val="0"/>
          <w:color w:val="333333"/>
          <w:szCs w:val="24"/>
        </w:rPr>
      </w:pPr>
      <w:r>
        <w:rPr>
          <w:rFonts w:ascii="&amp;quot" w:hAnsi="&amp;quot"/>
          <w:b w:val="0"/>
          <w:bCs w:val="0"/>
          <w:color w:val="333333"/>
        </w:rPr>
        <w:lastRenderedPageBreak/>
        <w:t>6. The state has an ethical obligation to mitigate the impacts of overarching public health strategies on the wellbeing of vulnerable groups.</w:t>
      </w:r>
    </w:p>
    <w:p w14:paraId="74D39C8C" w14:textId="77777777" w:rsidR="00261398" w:rsidRDefault="00261398" w:rsidP="00261398">
      <w:pPr>
        <w:pStyle w:val="NormalWeb"/>
        <w:spacing w:before="30" w:after="270" w:line="276" w:lineRule="auto"/>
        <w:rPr>
          <w:rFonts w:ascii="&amp;quot" w:hAnsi="&amp;quot"/>
          <w:color w:val="333333"/>
          <w:sz w:val="19"/>
          <w:szCs w:val="19"/>
        </w:rPr>
      </w:pPr>
      <w:r>
        <w:rPr>
          <w:rFonts w:ascii="&amp;quot" w:hAnsi="&amp;quot"/>
          <w:color w:val="333333"/>
          <w:sz w:val="19"/>
          <w:szCs w:val="19"/>
        </w:rPr>
        <w:t>When strategies are devised to protect the population as a whole, those laws and policies will likely have unintended consequences for people with disability. The state must consider the implications of COVID-related strategies for people with disability and older people (as well as other known disadvantaged groups) and act to mitigate negative impacts.</w:t>
      </w:r>
    </w:p>
    <w:p w14:paraId="75299766" w14:textId="77777777" w:rsidR="00261398" w:rsidRDefault="00261398" w:rsidP="00261398">
      <w:pPr>
        <w:pStyle w:val="Heading4"/>
        <w:spacing w:before="0" w:after="319"/>
        <w:rPr>
          <w:rFonts w:ascii="&amp;quot" w:hAnsi="&amp;quot"/>
          <w:b w:val="0"/>
          <w:bCs w:val="0"/>
          <w:color w:val="333333"/>
          <w:szCs w:val="24"/>
        </w:rPr>
      </w:pPr>
      <w:r>
        <w:rPr>
          <w:rFonts w:ascii="&amp;quot" w:hAnsi="&amp;quot"/>
          <w:b w:val="0"/>
          <w:bCs w:val="0"/>
          <w:color w:val="333333"/>
        </w:rPr>
        <w:t>7. The state has an ethical obligation to proactively target resources to prevent COVID-19 outbreaks among vulnerable groups.</w:t>
      </w:r>
    </w:p>
    <w:p w14:paraId="57A21DAA" w14:textId="77777777" w:rsidR="00261398" w:rsidRDefault="00261398" w:rsidP="00261398">
      <w:pPr>
        <w:pStyle w:val="NormalWeb"/>
        <w:spacing w:before="30" w:after="270" w:line="276" w:lineRule="auto"/>
        <w:rPr>
          <w:rFonts w:ascii="&amp;quot" w:hAnsi="&amp;quot"/>
          <w:color w:val="333333"/>
          <w:sz w:val="19"/>
          <w:szCs w:val="19"/>
        </w:rPr>
      </w:pPr>
      <w:r>
        <w:rPr>
          <w:rFonts w:ascii="&amp;quot" w:hAnsi="&amp;quot"/>
          <w:color w:val="333333"/>
          <w:sz w:val="19"/>
          <w:szCs w:val="19"/>
        </w:rPr>
        <w:t>More can be done in Australia to proactively target resources to prevent COVID-19 outbreaks among vulnerable groups, particularly those experiencing the dual threat of comorbidity or advanced age and congregate living. To date, Australia’s prevention strategies have focused on the health system; there is good reason now to expand those strategies to encompass aged care facilities and congregate care for people with disability (who often have comorbidities).</w:t>
      </w:r>
    </w:p>
    <w:p w14:paraId="0158D51C" w14:textId="77777777" w:rsidR="00261398" w:rsidRDefault="00261398" w:rsidP="00261398">
      <w:pPr>
        <w:pStyle w:val="Heading4"/>
        <w:spacing w:before="0" w:after="319"/>
        <w:rPr>
          <w:rFonts w:ascii="&amp;quot" w:hAnsi="&amp;quot"/>
          <w:b w:val="0"/>
          <w:bCs w:val="0"/>
          <w:color w:val="333333"/>
          <w:szCs w:val="24"/>
        </w:rPr>
      </w:pPr>
      <w:r>
        <w:rPr>
          <w:rFonts w:ascii="&amp;quot" w:hAnsi="&amp;quot"/>
          <w:b w:val="0"/>
          <w:bCs w:val="0"/>
          <w:color w:val="333333"/>
        </w:rPr>
        <w:t>8. The state has an ethical obligation to respond to outbreaks in congregate care settings.</w:t>
      </w:r>
    </w:p>
    <w:p w14:paraId="2C912B62" w14:textId="305CDC71" w:rsidR="00261398" w:rsidRPr="00FA6A22" w:rsidRDefault="00261398" w:rsidP="00FA6A22">
      <w:pPr>
        <w:pStyle w:val="NormalWeb"/>
        <w:spacing w:before="30" w:after="270" w:line="276" w:lineRule="auto"/>
        <w:rPr>
          <w:rFonts w:ascii="&amp;quot" w:hAnsi="&amp;quot"/>
          <w:color w:val="333333"/>
          <w:sz w:val="19"/>
          <w:szCs w:val="19"/>
        </w:rPr>
      </w:pPr>
      <w:r>
        <w:rPr>
          <w:rFonts w:ascii="&amp;quot" w:hAnsi="&amp;quot"/>
          <w:color w:val="333333"/>
          <w:sz w:val="19"/>
          <w:szCs w:val="19"/>
        </w:rPr>
        <w:t>Given the risks COVID-19 poses in congregate care settings, the state should be ready to respond to suspected and actual outbreaks with appropriate supports and resources. </w:t>
      </w:r>
      <w:r w:rsidR="00FA6A22">
        <w:rPr>
          <w:rFonts w:ascii="&amp;quot" w:hAnsi="&amp;quot"/>
          <w:color w:val="333333"/>
          <w:sz w:val="19"/>
          <w:szCs w:val="19"/>
        </w:rPr>
        <w:br w:type="page"/>
      </w:r>
    </w:p>
    <w:p w14:paraId="36A9ECA5" w14:textId="5FA4DFA8" w:rsidR="00112327" w:rsidRPr="009F3DA0" w:rsidRDefault="006B6C3F" w:rsidP="009F3DA0">
      <w:pPr>
        <w:pStyle w:val="Heading1OPA"/>
        <w:numPr>
          <w:ilvl w:val="0"/>
          <w:numId w:val="16"/>
        </w:numPr>
        <w:ind w:left="709" w:hanging="709"/>
        <w:rPr>
          <w:rFonts w:eastAsia="Times New Roman"/>
          <w:szCs w:val="32"/>
          <w:lang w:eastAsia="en-AU"/>
        </w:rPr>
      </w:pPr>
      <w:bookmarkStart w:id="39" w:name="_Toc46949155"/>
      <w:r>
        <w:lastRenderedPageBreak/>
        <w:t>Attachment B</w:t>
      </w:r>
      <w:r w:rsidR="009F3DA0">
        <w:t xml:space="preserve">: </w:t>
      </w:r>
      <w:r w:rsidR="00112327" w:rsidRPr="00FD625F">
        <w:t>Scarce Resource Allocation (SRA) Team and Triage Team Membership and Roles</w:t>
      </w:r>
      <w:r w:rsidR="007A545E">
        <w:rPr>
          <w:rStyle w:val="FootnoteReference"/>
        </w:rPr>
        <w:footnoteReference w:id="30"/>
      </w:r>
      <w:bookmarkEnd w:id="39"/>
    </w:p>
    <w:p w14:paraId="7B865D24" w14:textId="59305AFC" w:rsidR="00112327" w:rsidRDefault="00112327" w:rsidP="00112327">
      <w:pPr>
        <w:spacing w:before="0" w:after="0"/>
      </w:pPr>
      <w:r w:rsidRPr="00300CE5">
        <w:rPr>
          <w:b/>
          <w:bCs/>
        </w:rPr>
        <w:t>Scarce Resource Allocation Team Leader.</w:t>
      </w:r>
      <w:r>
        <w:t xml:space="preserve"> The SRA team leader should have broad-based knowledge of the resources and capabilities of the health care organization.  The team leader must possess situational awareness -the ability to acquire and act on knowledge as the pandemic unfolds in a manner that is consistent with the health care organization’s mission and ethical tenets. The team leader should be an experienced and respected member of the health care organization staff with proven leadership skills and a top-to-bottom understanding of the health care organization’s strengths, reserves, and limitations. The team leader should have final responsibility for and authority over clinical decisions that involve triage and scarce resource allocation including, in consultation with the Triage Team, monitoring the event</w:t>
      </w:r>
      <w:r w:rsidR="00300CE5">
        <w:t xml:space="preserve"> </w:t>
      </w:r>
      <w:r>
        <w:t xml:space="preserve">specific, real-time epidemiologic data to determine whether and how the assessment tools in the tertiary triage protocol should be adjusted. Throughout the public health emergency, the team leader should report to the Facility Director and chief of staff or designee, as appropriate within the Incident Command structure. </w:t>
      </w:r>
    </w:p>
    <w:p w14:paraId="27F780BA" w14:textId="77777777" w:rsidR="00300CE5" w:rsidRDefault="00300CE5" w:rsidP="00112327">
      <w:pPr>
        <w:spacing w:before="0" w:after="0"/>
      </w:pPr>
    </w:p>
    <w:p w14:paraId="6CB017CD" w14:textId="5D1222C8" w:rsidR="00112327" w:rsidRDefault="00112327" w:rsidP="00112327">
      <w:pPr>
        <w:spacing w:before="0" w:after="0"/>
      </w:pPr>
      <w:r w:rsidRPr="00300CE5">
        <w:rPr>
          <w:b/>
          <w:bCs/>
        </w:rPr>
        <w:t>Logistics/Management Representative.</w:t>
      </w:r>
      <w:r>
        <w:t xml:space="preserve"> A representative of the health care organization’s management team should provide guidance on the capabilities of the organization with respect to resources, personnel, and external support.  This person should have knowledge of logistics related to the acquisition and distribution of critical supplies, security, fiscal matters, internal and external communication, control of patient information, and cooperative capabilities with other health care organizations.  The management representative may also report to a larger Emergency Operations Committee responsible for directing the organization’s overall response to pandemic influenza. </w:t>
      </w:r>
    </w:p>
    <w:p w14:paraId="1BCD29E0" w14:textId="77777777" w:rsidR="00300CE5" w:rsidRDefault="00300CE5" w:rsidP="00112327">
      <w:pPr>
        <w:spacing w:before="0" w:after="0"/>
      </w:pPr>
    </w:p>
    <w:p w14:paraId="3A8DF8B4" w14:textId="0C127D60" w:rsidR="00112327" w:rsidRDefault="00112327" w:rsidP="00112327">
      <w:pPr>
        <w:spacing w:before="0" w:after="0"/>
      </w:pPr>
      <w:r w:rsidRPr="00300CE5">
        <w:rPr>
          <w:b/>
          <w:bCs/>
        </w:rPr>
        <w:t>Ethics Representative.</w:t>
      </w:r>
      <w:r>
        <w:t xml:space="preserve"> A member of the organization’s Integrated</w:t>
      </w:r>
      <w:r w:rsidR="00300CE5">
        <w:t xml:space="preserve"> </w:t>
      </w:r>
      <w:r>
        <w:t xml:space="preserve">Ethics program, generally from the Ethics Consultation Service, should provide guidance to resolving ethical conflicts, disputes, and dilemmas.  This person should have knowledge of widely accepted ethical principles and the special ethical challenges that community medical disasters and public health emergencies present. This person should ensure that ethical values are an integral part of any decision process. </w:t>
      </w:r>
    </w:p>
    <w:p w14:paraId="738AD426" w14:textId="77777777" w:rsidR="00112327" w:rsidRDefault="00112327" w:rsidP="00112327">
      <w:pPr>
        <w:spacing w:before="0" w:after="0"/>
      </w:pPr>
      <w:r>
        <w:t xml:space="preserve">Critical Care Medicine Representative. A physician with expertise in critical care medicine should provide guidance about the management of intensive medical care and proposed implementation of crisis standards of care. </w:t>
      </w:r>
    </w:p>
    <w:p w14:paraId="5D69ECB6" w14:textId="77777777" w:rsidR="00300CE5" w:rsidRDefault="00300CE5" w:rsidP="00112327">
      <w:pPr>
        <w:spacing w:before="0" w:after="0"/>
        <w:rPr>
          <w:b/>
          <w:bCs/>
        </w:rPr>
      </w:pPr>
    </w:p>
    <w:p w14:paraId="2FF9AFF0" w14:textId="3C60820C" w:rsidR="00112327" w:rsidRDefault="00112327" w:rsidP="00112327">
      <w:pPr>
        <w:spacing w:before="0" w:after="0"/>
      </w:pPr>
      <w:r w:rsidRPr="00300CE5">
        <w:rPr>
          <w:b/>
          <w:bCs/>
        </w:rPr>
        <w:t>Nursing Representative.</w:t>
      </w:r>
      <w:r>
        <w:t xml:space="preserve"> The Nurse Executive or other designated nurse leader should provide information about nurse staffing capacity to meet additional health care service needs of patients.  Nursing judgments must be reflected in the SRA team’s decisions to alter standards of care that result in the nursing staff performing duties that are normally performed by physicians, in the modification of nurse–patient ratios, and in decisions to include nonclinical staff in clinical support roles. </w:t>
      </w:r>
    </w:p>
    <w:p w14:paraId="776D2549" w14:textId="15284B3F" w:rsidR="00112327" w:rsidRDefault="00112327" w:rsidP="00112327">
      <w:pPr>
        <w:spacing w:before="0" w:after="0"/>
      </w:pPr>
      <w:r>
        <w:t xml:space="preserve">  </w:t>
      </w:r>
    </w:p>
    <w:p w14:paraId="313C5549" w14:textId="45DB6084" w:rsidR="00112327" w:rsidRDefault="00112327" w:rsidP="00112327">
      <w:pPr>
        <w:spacing w:before="0" w:after="0"/>
      </w:pPr>
      <w:r w:rsidRPr="00300CE5">
        <w:rPr>
          <w:b/>
          <w:bCs/>
        </w:rPr>
        <w:t>Emergency Department Representative.</w:t>
      </w:r>
      <w:r>
        <w:t xml:space="preserve"> This role should be filled by a nurse or physician who is capable of providing real-time information about surge capacity and clinical decision</w:t>
      </w:r>
      <w:r w:rsidR="00300CE5">
        <w:t>-</w:t>
      </w:r>
      <w:r>
        <w:t xml:space="preserve">making in the emergency department. </w:t>
      </w:r>
    </w:p>
    <w:p w14:paraId="777A9078" w14:textId="77777777" w:rsidR="001378A8" w:rsidRDefault="001378A8" w:rsidP="00112327">
      <w:pPr>
        <w:spacing w:before="0" w:after="0"/>
        <w:rPr>
          <w:b/>
          <w:bCs/>
        </w:rPr>
      </w:pPr>
    </w:p>
    <w:p w14:paraId="72A09D6B" w14:textId="34053D09" w:rsidR="00112327" w:rsidRDefault="00112327" w:rsidP="00112327">
      <w:pPr>
        <w:spacing w:before="0" w:after="0"/>
      </w:pPr>
      <w:r w:rsidRPr="00300CE5">
        <w:rPr>
          <w:b/>
          <w:bCs/>
        </w:rPr>
        <w:t xml:space="preserve">Infectious Diseases Representative. </w:t>
      </w:r>
      <w:r>
        <w:t xml:space="preserve">An infectious diseases physician or infection control specialist should provide regular updates regarding the status and impact of the pandemic and the management of patients with influenza. </w:t>
      </w:r>
    </w:p>
    <w:p w14:paraId="48035C68" w14:textId="77777777" w:rsidR="001378A8" w:rsidRDefault="001378A8" w:rsidP="00112327">
      <w:pPr>
        <w:spacing w:before="0" w:after="0"/>
      </w:pPr>
    </w:p>
    <w:p w14:paraId="16C41227" w14:textId="43FCEF54" w:rsidR="00112327" w:rsidRDefault="00112327" w:rsidP="00112327">
      <w:pPr>
        <w:spacing w:before="0" w:after="0"/>
      </w:pPr>
      <w:r w:rsidRPr="001378A8">
        <w:rPr>
          <w:b/>
          <w:bCs/>
        </w:rPr>
        <w:t>Palliative Medicine Representative.</w:t>
      </w:r>
      <w:r>
        <w:t xml:space="preserve"> A physician with experience in palliative medicine should provide updates on the demands for palliative care and strategies to meet these demands. A qualified physician assistant or nurse practitioner may fill this role when a qualified physician is not available. </w:t>
      </w:r>
    </w:p>
    <w:p w14:paraId="5976326B" w14:textId="77777777" w:rsidR="001378A8" w:rsidRDefault="001378A8" w:rsidP="00112327">
      <w:pPr>
        <w:spacing w:before="0" w:after="0"/>
      </w:pPr>
    </w:p>
    <w:p w14:paraId="7AF91471" w14:textId="267928F6" w:rsidR="00112327" w:rsidRDefault="00112327" w:rsidP="00112327">
      <w:pPr>
        <w:spacing w:before="0" w:after="0"/>
      </w:pPr>
      <w:r w:rsidRPr="001378A8">
        <w:rPr>
          <w:b/>
          <w:bCs/>
        </w:rPr>
        <w:t>Social Work Representative.</w:t>
      </w:r>
      <w:r>
        <w:t xml:space="preserve"> A licensed clinical social worker should provide updates on the social service demands imposed on the health care organization as a consequence of pandemic influenza. </w:t>
      </w:r>
    </w:p>
    <w:p w14:paraId="11252309" w14:textId="77777777" w:rsidR="001378A8" w:rsidRDefault="001378A8" w:rsidP="00112327">
      <w:pPr>
        <w:spacing w:before="0" w:after="0"/>
      </w:pPr>
    </w:p>
    <w:p w14:paraId="40922EAF" w14:textId="77777777" w:rsidR="00112327" w:rsidRDefault="00112327" w:rsidP="00112327">
      <w:pPr>
        <w:spacing w:before="0" w:after="0"/>
      </w:pPr>
      <w:r w:rsidRPr="001378A8">
        <w:rPr>
          <w:b/>
          <w:bCs/>
        </w:rPr>
        <w:t>Chaplain Representative.</w:t>
      </w:r>
      <w:r>
        <w:t xml:space="preserve"> A chaplain should provide regular updates on the capacity of the health care organization to address the special spiritual needs of patients and family members, especially of those patients a physician deemed ineligible to receive care that would normally be delivered. </w:t>
      </w:r>
    </w:p>
    <w:p w14:paraId="05DCC79A" w14:textId="77777777" w:rsidR="001378A8" w:rsidRDefault="001378A8" w:rsidP="00112327">
      <w:pPr>
        <w:spacing w:before="0" w:after="0"/>
      </w:pPr>
    </w:p>
    <w:p w14:paraId="4315BE53" w14:textId="58BDD68D" w:rsidR="00112327" w:rsidRDefault="00112327" w:rsidP="00112327">
      <w:pPr>
        <w:spacing w:before="0" w:after="0"/>
      </w:pPr>
      <w:r w:rsidRPr="001378A8">
        <w:rPr>
          <w:b/>
          <w:bCs/>
        </w:rPr>
        <w:t>Patient/Veteran or VSO Representative.</w:t>
      </w:r>
      <w:r>
        <w:t xml:space="preserve"> A representative of the Veteran community can provide specific insight on Veterans’ issues and help to ensure transparency in the functioning of the team. </w:t>
      </w:r>
    </w:p>
    <w:p w14:paraId="34334C52" w14:textId="01E21366" w:rsidR="00112327" w:rsidRDefault="00112327" w:rsidP="00112327">
      <w:pPr>
        <w:spacing w:before="0" w:after="0"/>
      </w:pPr>
      <w:r>
        <w:t xml:space="preserve">Ad Hoc Representatives from Other Departments. Representatives from other departments significantly affected by the pandemic may be necessary to provide updates on their capacity to meet surge demands for care – for example, an engineering representative who can advise on available supplies of oxygen and utilities. </w:t>
      </w:r>
    </w:p>
    <w:p w14:paraId="590EE939" w14:textId="77777777" w:rsidR="001378A8" w:rsidRDefault="001378A8" w:rsidP="00112327">
      <w:pPr>
        <w:spacing w:before="0" w:after="0"/>
      </w:pPr>
    </w:p>
    <w:p w14:paraId="2F03BB49" w14:textId="77777777" w:rsidR="00112327" w:rsidRPr="00A823B4" w:rsidRDefault="00112327" w:rsidP="00112327">
      <w:pPr>
        <w:spacing w:before="0" w:after="0"/>
        <w:rPr>
          <w:b/>
          <w:bCs/>
        </w:rPr>
      </w:pPr>
      <w:r w:rsidRPr="00A823B4">
        <w:rPr>
          <w:b/>
          <w:bCs/>
        </w:rPr>
        <w:t xml:space="preserve">Triage Team Membership and Roles </w:t>
      </w:r>
    </w:p>
    <w:p w14:paraId="79165A96" w14:textId="3D349CA9" w:rsidR="001316B0" w:rsidRDefault="00112327" w:rsidP="00112327">
      <w:pPr>
        <w:spacing w:before="0" w:after="0"/>
      </w:pPr>
      <w:r>
        <w:t>A group functioning under the direction of the SRA team, the Triage Team, should be designated and is responsible for tertiary triage scoring and decisions based on the tertiary triage protocol and available resources. Membership of the Triage Team includes, at minimum, a critical care medicine, nursing, and logistics/management representative. The Triage Team will consider regional and local circumstances and the resources available, and use the triage protocol to determine which patients are eligible for life-saving resources. Although the Triage Team functions under the direction of the SRA, the Triage Team’s role within the SRA should, ideally, be limited to triage implementation, that is, collecting data, ensuring its accuracy, and directing bedside clinicians on triage decisions.</w:t>
      </w:r>
    </w:p>
    <w:p w14:paraId="7301C31F" w14:textId="77777777" w:rsidR="00F86EE4" w:rsidRPr="002D4A9C" w:rsidRDefault="00F86EE4" w:rsidP="00A158AC">
      <w:pPr>
        <w:spacing w:line="276" w:lineRule="auto"/>
      </w:pPr>
    </w:p>
    <w:sectPr w:rsidR="00F86EE4" w:rsidRPr="002D4A9C" w:rsidSect="00C547BB">
      <w:headerReference w:type="default" r:id="rId14"/>
      <w:footerReference w:type="default" r:id="rId15"/>
      <w:headerReference w:type="first" r:id="rId16"/>
      <w:pgSz w:w="11906" w:h="16838" w:code="9"/>
      <w:pgMar w:top="1134" w:right="1134" w:bottom="1134" w:left="1134"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30927" w14:textId="77777777" w:rsidR="00476A5B" w:rsidRDefault="00476A5B" w:rsidP="00C547BB">
      <w:pPr>
        <w:spacing w:before="0" w:after="0"/>
      </w:pPr>
      <w:r>
        <w:separator/>
      </w:r>
    </w:p>
  </w:endnote>
  <w:endnote w:type="continuationSeparator" w:id="0">
    <w:p w14:paraId="57BE05E3" w14:textId="77777777" w:rsidR="00476A5B" w:rsidRDefault="00476A5B" w:rsidP="00C547BB">
      <w:pPr>
        <w:spacing w:before="0" w:after="0"/>
      </w:pPr>
      <w:r>
        <w:continuationSeparator/>
      </w:r>
    </w:p>
  </w:endnote>
  <w:endnote w:type="continuationNotice" w:id="1">
    <w:p w14:paraId="58A598A1" w14:textId="77777777" w:rsidR="00476A5B" w:rsidRDefault="00476A5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Helvetica 45 Light">
    <w:altName w:val="Arial"/>
    <w:charset w:val="00"/>
    <w:family w:val="swiss"/>
    <w:pitch w:val="variable"/>
    <w:sig w:usb0="800000AF" w:usb1="4000204A"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8646783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43C3B0A" w14:textId="77777777" w:rsidR="00476A5B" w:rsidRPr="002E18FA" w:rsidRDefault="00476A5B" w:rsidP="001D2752">
            <w:pPr>
              <w:pStyle w:val="Footer"/>
              <w:tabs>
                <w:tab w:val="clear" w:pos="4513"/>
                <w:tab w:val="clear" w:pos="9026"/>
                <w:tab w:val="center" w:pos="5670"/>
                <w:tab w:val="right" w:pos="9498"/>
              </w:tabs>
              <w:rPr>
                <w:sz w:val="18"/>
                <w:szCs w:val="18"/>
              </w:rPr>
            </w:pPr>
            <w:r w:rsidRPr="002E18FA">
              <w:rPr>
                <w:sz w:val="18"/>
                <w:szCs w:val="18"/>
              </w:rPr>
              <w:t>OPA Submission to Disability Royal Commission – Emergency Planning and Response</w:t>
            </w:r>
            <w:r w:rsidRPr="002E18FA">
              <w:rPr>
                <w:sz w:val="18"/>
                <w:szCs w:val="18"/>
              </w:rPr>
              <w:tab/>
              <w:t xml:space="preserve">Page </w:t>
            </w:r>
            <w:r w:rsidRPr="002E18FA">
              <w:rPr>
                <w:bCs/>
                <w:sz w:val="18"/>
                <w:szCs w:val="18"/>
              </w:rPr>
              <w:fldChar w:fldCharType="begin"/>
            </w:r>
            <w:r w:rsidRPr="002E18FA">
              <w:rPr>
                <w:bCs/>
                <w:sz w:val="18"/>
                <w:szCs w:val="18"/>
              </w:rPr>
              <w:instrText xml:space="preserve"> PAGE </w:instrText>
            </w:r>
            <w:r w:rsidRPr="002E18FA">
              <w:rPr>
                <w:bCs/>
                <w:sz w:val="18"/>
                <w:szCs w:val="18"/>
              </w:rPr>
              <w:fldChar w:fldCharType="separate"/>
            </w:r>
            <w:r w:rsidRPr="002E18FA">
              <w:rPr>
                <w:bCs/>
                <w:noProof/>
                <w:sz w:val="18"/>
                <w:szCs w:val="18"/>
              </w:rPr>
              <w:t>51</w:t>
            </w:r>
            <w:r w:rsidRPr="002E18FA">
              <w:rPr>
                <w:bCs/>
                <w:sz w:val="18"/>
                <w:szCs w:val="18"/>
              </w:rPr>
              <w:fldChar w:fldCharType="end"/>
            </w:r>
            <w:r w:rsidRPr="002E18FA">
              <w:rPr>
                <w:sz w:val="18"/>
                <w:szCs w:val="18"/>
              </w:rPr>
              <w:t xml:space="preserve"> of </w:t>
            </w:r>
            <w:r w:rsidRPr="002E18FA">
              <w:rPr>
                <w:bCs/>
                <w:sz w:val="18"/>
                <w:szCs w:val="18"/>
              </w:rPr>
              <w:fldChar w:fldCharType="begin"/>
            </w:r>
            <w:r w:rsidRPr="002E18FA">
              <w:rPr>
                <w:bCs/>
                <w:sz w:val="18"/>
                <w:szCs w:val="18"/>
              </w:rPr>
              <w:instrText xml:space="preserve"> NUMPAGES  </w:instrText>
            </w:r>
            <w:r w:rsidRPr="002E18FA">
              <w:rPr>
                <w:bCs/>
                <w:sz w:val="18"/>
                <w:szCs w:val="18"/>
              </w:rPr>
              <w:fldChar w:fldCharType="separate"/>
            </w:r>
            <w:r w:rsidRPr="002E18FA">
              <w:rPr>
                <w:bCs/>
                <w:noProof/>
                <w:sz w:val="18"/>
                <w:szCs w:val="18"/>
              </w:rPr>
              <w:t>51</w:t>
            </w:r>
            <w:r w:rsidRPr="002E18FA">
              <w:rPr>
                <w:bCs/>
                <w:sz w:val="18"/>
                <w:szCs w:val="18"/>
              </w:rPr>
              <w:fldChar w:fldCharType="end"/>
            </w:r>
          </w:p>
        </w:sdtContent>
      </w:sdt>
    </w:sdtContent>
  </w:sdt>
  <w:p w14:paraId="15B1A688" w14:textId="77777777" w:rsidR="00476A5B" w:rsidRPr="002E18FA" w:rsidRDefault="00476A5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1E86C" w14:textId="77777777" w:rsidR="00476A5B" w:rsidRDefault="00476A5B" w:rsidP="00C547BB">
      <w:pPr>
        <w:spacing w:before="0" w:after="0"/>
      </w:pPr>
      <w:r>
        <w:separator/>
      </w:r>
    </w:p>
  </w:footnote>
  <w:footnote w:type="continuationSeparator" w:id="0">
    <w:p w14:paraId="5ACBDC7D" w14:textId="77777777" w:rsidR="00476A5B" w:rsidRDefault="00476A5B" w:rsidP="00C547BB">
      <w:pPr>
        <w:spacing w:before="0" w:after="0"/>
      </w:pPr>
      <w:r>
        <w:continuationSeparator/>
      </w:r>
    </w:p>
  </w:footnote>
  <w:footnote w:type="continuationNotice" w:id="1">
    <w:p w14:paraId="1590C145" w14:textId="77777777" w:rsidR="00476A5B" w:rsidRDefault="00476A5B">
      <w:pPr>
        <w:spacing w:before="0" w:after="0"/>
      </w:pPr>
    </w:p>
  </w:footnote>
  <w:footnote w:id="2">
    <w:p w14:paraId="125D7F4E" w14:textId="77777777" w:rsidR="00476A5B" w:rsidRPr="00F023BD" w:rsidRDefault="00476A5B" w:rsidP="00ED6CF9">
      <w:pPr>
        <w:pStyle w:val="FootnoteText"/>
        <w:rPr>
          <w:sz w:val="18"/>
          <w:szCs w:val="18"/>
        </w:rPr>
      </w:pPr>
      <w:r w:rsidRPr="00F023BD">
        <w:rPr>
          <w:rStyle w:val="FootnoteReference"/>
          <w:sz w:val="18"/>
          <w:szCs w:val="18"/>
        </w:rPr>
        <w:footnoteRef/>
      </w:r>
      <w:r w:rsidRPr="00F023BD">
        <w:rPr>
          <w:i/>
          <w:sz w:val="18"/>
          <w:szCs w:val="18"/>
        </w:rPr>
        <w:t>Guardianship and Administration Act 2019</w:t>
      </w:r>
      <w:r w:rsidRPr="00F023BD">
        <w:rPr>
          <w:sz w:val="18"/>
          <w:szCs w:val="18"/>
        </w:rPr>
        <w:t xml:space="preserve"> (Vic) s 15.</w:t>
      </w:r>
    </w:p>
  </w:footnote>
  <w:footnote w:id="3">
    <w:p w14:paraId="27E99FD7" w14:textId="4FF2B1C0" w:rsidR="00476A5B" w:rsidRPr="00142E32" w:rsidRDefault="00476A5B" w:rsidP="009F3012">
      <w:pPr>
        <w:pStyle w:val="FootnoteText"/>
        <w:rPr>
          <w:sz w:val="18"/>
        </w:rPr>
      </w:pPr>
      <w:r w:rsidRPr="00142E32">
        <w:rPr>
          <w:rStyle w:val="FootnoteReference"/>
          <w:sz w:val="18"/>
        </w:rPr>
        <w:footnoteRef/>
      </w:r>
      <w:r w:rsidRPr="00142E32">
        <w:rPr>
          <w:sz w:val="18"/>
        </w:rPr>
        <w:t xml:space="preserve"> Office of the Public Advocate (Vic</w:t>
      </w:r>
      <w:r w:rsidR="0007411F">
        <w:rPr>
          <w:sz w:val="18"/>
        </w:rPr>
        <w:t>)</w:t>
      </w:r>
      <w:r w:rsidRPr="00142E32">
        <w:rPr>
          <w:sz w:val="18"/>
        </w:rPr>
        <w:t xml:space="preserve"> </w:t>
      </w:r>
      <w:r w:rsidRPr="00142E32">
        <w:rPr>
          <w:i/>
          <w:sz w:val="18"/>
        </w:rPr>
        <w:t>Annual Report 2018-19</w:t>
      </w:r>
      <w:r>
        <w:rPr>
          <w:sz w:val="18"/>
        </w:rPr>
        <w:t>,</w:t>
      </w:r>
      <w:r w:rsidRPr="00142E32">
        <w:rPr>
          <w:sz w:val="18"/>
        </w:rPr>
        <w:t xml:space="preserve"> 9.</w:t>
      </w:r>
    </w:p>
  </w:footnote>
  <w:footnote w:id="4">
    <w:p w14:paraId="48A5C00A" w14:textId="27CE51C3" w:rsidR="00476A5B" w:rsidRDefault="00476A5B" w:rsidP="00287258">
      <w:pPr>
        <w:pStyle w:val="FootnoteText"/>
      </w:pPr>
      <w:r w:rsidRPr="00142E32">
        <w:rPr>
          <w:rStyle w:val="FootnoteReference"/>
          <w:sz w:val="18"/>
        </w:rPr>
        <w:footnoteRef/>
      </w:r>
      <w:r>
        <w:rPr>
          <w:sz w:val="18"/>
        </w:rPr>
        <w:t xml:space="preserve"> Office of the Public Advocate (Vic)</w:t>
      </w:r>
      <w:r w:rsidR="0007411F">
        <w:rPr>
          <w:sz w:val="18"/>
        </w:rPr>
        <w:t xml:space="preserve"> </w:t>
      </w:r>
      <w:r>
        <w:rPr>
          <w:sz w:val="18"/>
        </w:rPr>
        <w:t>i</w:t>
      </w:r>
      <w:r w:rsidRPr="00142E32">
        <w:rPr>
          <w:sz w:val="18"/>
        </w:rPr>
        <w:t xml:space="preserve">nternal </w:t>
      </w:r>
      <w:r>
        <w:rPr>
          <w:sz w:val="18"/>
        </w:rPr>
        <w:t xml:space="preserve">program </w:t>
      </w:r>
      <w:r w:rsidRPr="00142E32">
        <w:rPr>
          <w:sz w:val="18"/>
        </w:rPr>
        <w:t>data.</w:t>
      </w:r>
    </w:p>
  </w:footnote>
  <w:footnote w:id="5">
    <w:p w14:paraId="19C51DAC" w14:textId="3805FD7B" w:rsidR="00476A5B" w:rsidRPr="00501D0B" w:rsidRDefault="00476A5B">
      <w:pPr>
        <w:pStyle w:val="FootnoteText"/>
        <w:rPr>
          <w:lang w:val="en-CA"/>
        </w:rPr>
      </w:pPr>
      <w:r w:rsidRPr="00287258">
        <w:rPr>
          <w:rStyle w:val="FootnoteReference"/>
          <w:sz w:val="18"/>
          <w:szCs w:val="18"/>
        </w:rPr>
        <w:footnoteRef/>
      </w:r>
      <w:r>
        <w:rPr>
          <w:sz w:val="18"/>
          <w:szCs w:val="18"/>
          <w:lang w:val="en-CA"/>
        </w:rPr>
        <w:t xml:space="preserve"> </w:t>
      </w:r>
      <w:r w:rsidRPr="00501D0B">
        <w:rPr>
          <w:sz w:val="18"/>
          <w:szCs w:val="18"/>
          <w:lang w:val="en-CA"/>
        </w:rPr>
        <w:t>Office of the Public Advocate (Vic</w:t>
      </w:r>
      <w:r w:rsidR="0007411F">
        <w:rPr>
          <w:sz w:val="18"/>
          <w:szCs w:val="18"/>
          <w:lang w:val="en-CA"/>
        </w:rPr>
        <w:t xml:space="preserve">) </w:t>
      </w:r>
      <w:r w:rsidRPr="00142E32">
        <w:rPr>
          <w:i/>
          <w:sz w:val="18"/>
        </w:rPr>
        <w:t>Annual Report 2018-19</w:t>
      </w:r>
      <w:r>
        <w:rPr>
          <w:sz w:val="18"/>
        </w:rPr>
        <w:t>.</w:t>
      </w:r>
    </w:p>
  </w:footnote>
  <w:footnote w:id="6">
    <w:p w14:paraId="3659CE52" w14:textId="77777777" w:rsidR="00476A5B" w:rsidRPr="005D78F2" w:rsidRDefault="00476A5B" w:rsidP="009F3012">
      <w:pPr>
        <w:pStyle w:val="FootnoteText"/>
        <w:rPr>
          <w:sz w:val="18"/>
          <w:szCs w:val="18"/>
        </w:rPr>
      </w:pPr>
      <w:r w:rsidRPr="005D78F2">
        <w:rPr>
          <w:rStyle w:val="FootnoteReference"/>
          <w:sz w:val="18"/>
          <w:szCs w:val="18"/>
        </w:rPr>
        <w:footnoteRef/>
      </w:r>
      <w:r w:rsidRPr="005D78F2">
        <w:rPr>
          <w:sz w:val="18"/>
          <w:szCs w:val="18"/>
        </w:rPr>
        <w:t xml:space="preserve"> Office of the Public Advocate (Vic), </w:t>
      </w:r>
      <w:r w:rsidRPr="005D78F2">
        <w:rPr>
          <w:i/>
          <w:iCs/>
          <w:sz w:val="18"/>
          <w:szCs w:val="18"/>
        </w:rPr>
        <w:t xml:space="preserve">Community Visitors </w:t>
      </w:r>
      <w:r w:rsidRPr="005D78F2">
        <w:rPr>
          <w:i/>
          <w:sz w:val="18"/>
          <w:szCs w:val="18"/>
        </w:rPr>
        <w:t>Annual Report 2018-19</w:t>
      </w:r>
      <w:r w:rsidRPr="005D78F2">
        <w:rPr>
          <w:sz w:val="18"/>
          <w:szCs w:val="18"/>
        </w:rPr>
        <w:t>.</w:t>
      </w:r>
    </w:p>
  </w:footnote>
  <w:footnote w:id="7">
    <w:p w14:paraId="2ABB2E5B" w14:textId="50580EFC" w:rsidR="00476A5B" w:rsidRDefault="00476A5B">
      <w:pPr>
        <w:pStyle w:val="FootnoteText"/>
      </w:pPr>
      <w:r>
        <w:rPr>
          <w:rStyle w:val="FootnoteReference"/>
        </w:rPr>
        <w:footnoteRef/>
      </w:r>
      <w:r>
        <w:t xml:space="preserve"> </w:t>
      </w:r>
      <w:hyperlink r:id="rId1" w:history="1">
        <w:r w:rsidRPr="00014ECB">
          <w:rPr>
            <w:rStyle w:val="Hyperlink"/>
          </w:rPr>
          <w:t>https://www.publicadvocate.vic.gov.au/resources/submissions/2020-submission-on-the-impact-of-covid-19-on-the-aged-care-sector</w:t>
        </w:r>
      </w:hyperlink>
      <w:r>
        <w:t xml:space="preserve"> </w:t>
      </w:r>
    </w:p>
  </w:footnote>
  <w:footnote w:id="8">
    <w:p w14:paraId="57BBE331" w14:textId="27E3B3ED" w:rsidR="00476A5B" w:rsidRDefault="00476A5B">
      <w:pPr>
        <w:pStyle w:val="FootnoteText"/>
      </w:pPr>
      <w:r>
        <w:rPr>
          <w:rStyle w:val="FootnoteReference"/>
        </w:rPr>
        <w:footnoteRef/>
      </w:r>
      <w:r>
        <w:t xml:space="preserve"> For example, the </w:t>
      </w:r>
      <w:r w:rsidRPr="000856AA">
        <w:rPr>
          <w:i/>
        </w:rPr>
        <w:t>Coronavirus COVID-19 Plan for the Disability Services Sector</w:t>
      </w:r>
      <w:r>
        <w:t xml:space="preserve"> published by the Victorian Department of Health and Human Services. </w:t>
      </w:r>
    </w:p>
  </w:footnote>
  <w:footnote w:id="9">
    <w:p w14:paraId="0EF2ECF8" w14:textId="0299789A" w:rsidR="000950CC" w:rsidRDefault="000950CC">
      <w:pPr>
        <w:pStyle w:val="FootnoteText"/>
      </w:pPr>
      <w:r>
        <w:rPr>
          <w:rStyle w:val="FootnoteReference"/>
        </w:rPr>
        <w:footnoteRef/>
      </w:r>
      <w:r>
        <w:t xml:space="preserve"> The Public Advocate released </w:t>
      </w:r>
      <w:r w:rsidR="00DB26AA">
        <w:t xml:space="preserve">a </w:t>
      </w:r>
      <w:r w:rsidRPr="000950CC">
        <w:rPr>
          <w:i/>
        </w:rPr>
        <w:t xml:space="preserve">Statement of support for priority access to PPE for disability support workers </w:t>
      </w:r>
      <w:r w:rsidR="00DB26AA">
        <w:t xml:space="preserve">on </w:t>
      </w:r>
      <w:r>
        <w:t>8 April 2020 &lt;</w:t>
      </w:r>
      <w:r w:rsidRPr="000950CC">
        <w:t>https://www.publicadvocate.vic.gov.au/about-us/media-centre-2</w:t>
      </w:r>
      <w:r>
        <w:t>&gt;.</w:t>
      </w:r>
    </w:p>
  </w:footnote>
  <w:footnote w:id="10">
    <w:p w14:paraId="60387070" w14:textId="47B7D955" w:rsidR="00476A5B" w:rsidRDefault="00476A5B" w:rsidP="009E6497">
      <w:pPr>
        <w:pStyle w:val="FootnoteText"/>
      </w:pPr>
      <w:r>
        <w:rPr>
          <w:rStyle w:val="FootnoteReference"/>
        </w:rPr>
        <w:footnoteRef/>
      </w:r>
      <w:r>
        <w:t xml:space="preserve"> This </w:t>
      </w:r>
      <w:r w:rsidRPr="007C1058">
        <w:t xml:space="preserve">planning guide was developed by researchers at The University of Sydney who lead research on disability inclusive disaster risk reduction. It was developed in partnership with the Queenslanders with Disability Network with funding from the Queensland Government Department of Communities, Disability Services and Seniors. </w:t>
      </w:r>
      <w:r>
        <w:t>For the purposes of COVID-19 planning, and in collaboration with the Australian Government, a nationally relevant guide was published. OPA refers the Commission specifically to the Person-Centred Emergency Preparedness Planning for COVID-19 – For People with Disability: Guide to assist you to develop your own plan for COVID-19 &lt;</w:t>
      </w:r>
      <w:r w:rsidRPr="007C1058">
        <w:t>https://collaborating4inclusion.org/covid-19-person-centred-emergency-preparedness/</w:t>
      </w:r>
      <w:r>
        <w:t xml:space="preserve">&gt;. </w:t>
      </w:r>
    </w:p>
  </w:footnote>
  <w:footnote w:id="11">
    <w:p w14:paraId="75D6C810" w14:textId="286B3E22" w:rsidR="00476A5B" w:rsidRDefault="00476A5B">
      <w:pPr>
        <w:pStyle w:val="FootnoteText"/>
      </w:pPr>
      <w:r>
        <w:rPr>
          <w:rStyle w:val="FootnoteReference"/>
        </w:rPr>
        <w:footnoteRef/>
      </w:r>
      <w:r>
        <w:t xml:space="preserve"> For example, DHHS, Coronavirus (COVID-19) </w:t>
      </w:r>
      <w:r w:rsidRPr="00EF0375">
        <w:rPr>
          <w:i/>
        </w:rPr>
        <w:t>Fact sheet on Stay at home and isolation directions for Supported Residential Services proprietors and staff</w:t>
      </w:r>
      <w:r>
        <w:t xml:space="preserve"> &lt;</w:t>
      </w:r>
      <w:r w:rsidRPr="00EF0375">
        <w:t>https://www.dhhs.vic.gov.au/community-services-all-sector-coronavirus-covid-19</w:t>
      </w:r>
      <w:r>
        <w:t>&gt;.</w:t>
      </w:r>
    </w:p>
  </w:footnote>
  <w:footnote w:id="12">
    <w:p w14:paraId="0EAA7173" w14:textId="50C53E1E" w:rsidR="00476A5B" w:rsidRDefault="00476A5B">
      <w:pPr>
        <w:pStyle w:val="FootnoteText"/>
      </w:pPr>
      <w:r>
        <w:rPr>
          <w:rStyle w:val="FootnoteReference"/>
        </w:rPr>
        <w:footnoteRef/>
      </w:r>
      <w:r>
        <w:t xml:space="preserve"> </w:t>
      </w:r>
      <w:r w:rsidRPr="00D86F78">
        <w:t xml:space="preserve">Supported residential services (SRS) are privately operated businesses </w:t>
      </w:r>
      <w:r>
        <w:t xml:space="preserve">in Victoria </w:t>
      </w:r>
      <w:r w:rsidRPr="00D86F78">
        <w:t>that provide accommodation and support for Victorians who need help with everyday activities. Each SRS determines the services it offers and its fee structure</w:t>
      </w:r>
      <w:r>
        <w:t xml:space="preserve">: Victoria State Government, </w:t>
      </w:r>
      <w:r w:rsidRPr="00A143CB">
        <w:rPr>
          <w:i/>
        </w:rPr>
        <w:t>Supported residential services</w:t>
      </w:r>
      <w:r>
        <w:t xml:space="preserve"> &lt;</w:t>
      </w:r>
      <w:hyperlink r:id="rId2" w:history="1">
        <w:r w:rsidRPr="0022749E">
          <w:rPr>
            <w:rStyle w:val="Hyperlink"/>
          </w:rPr>
          <w:t>https://www2.health.vic.gov.au/ageing-and-aged-care/supported-residential-services&gt; accessed 28 July 2020</w:t>
        </w:r>
      </w:hyperlink>
      <w:r>
        <w:t>. SRS are referred to as supported residential facilities in some other jurisdictions.</w:t>
      </w:r>
    </w:p>
  </w:footnote>
  <w:footnote w:id="13">
    <w:p w14:paraId="2B3D587A" w14:textId="06ABEFF4" w:rsidR="00476A5B" w:rsidRDefault="00476A5B">
      <w:pPr>
        <w:pStyle w:val="FootnoteText"/>
      </w:pPr>
      <w:r>
        <w:rPr>
          <w:rStyle w:val="FootnoteReference"/>
        </w:rPr>
        <w:footnoteRef/>
      </w:r>
      <w:r>
        <w:t xml:space="preserve"> </w:t>
      </w:r>
      <w:hyperlink r:id="rId3" w:history="1">
        <w:r w:rsidRPr="00975358">
          <w:rPr>
            <w:rStyle w:val="Hyperlink"/>
          </w:rPr>
          <w:t>https://www.cota.org.au/policy/aged-care-reform/agedcarevisitors/</w:t>
        </w:r>
      </w:hyperlink>
      <w:r>
        <w:t xml:space="preserve"> version from 11 May 2020.</w:t>
      </w:r>
    </w:p>
  </w:footnote>
  <w:footnote w:id="14">
    <w:p w14:paraId="19F2CE22" w14:textId="540910B2" w:rsidR="00476A5B" w:rsidRDefault="00476A5B">
      <w:pPr>
        <w:pStyle w:val="FootnoteText"/>
      </w:pPr>
      <w:r>
        <w:rPr>
          <w:rStyle w:val="FootnoteReference"/>
        </w:rPr>
        <w:footnoteRef/>
      </w:r>
      <w:r>
        <w:t xml:space="preserve"> Available at Victoria State Government, Department of Health and Human Services, </w:t>
      </w:r>
      <w:r w:rsidRPr="001D4852">
        <w:rPr>
          <w:i/>
        </w:rPr>
        <w:t>Coronavirus (COVID-19)</w:t>
      </w:r>
      <w:r>
        <w:t xml:space="preserve"> &lt;</w:t>
      </w:r>
      <w:r w:rsidRPr="001D4852">
        <w:rPr>
          <w:szCs w:val="28"/>
        </w:rPr>
        <w:t>https://www.dhhs.vic.gov.au/coronavirus</w:t>
      </w:r>
      <w:r>
        <w:rPr>
          <w:szCs w:val="28"/>
        </w:rPr>
        <w:t>&gt;.</w:t>
      </w:r>
    </w:p>
  </w:footnote>
  <w:footnote w:id="15">
    <w:p w14:paraId="0BACAFEB" w14:textId="52006E32" w:rsidR="00476A5B" w:rsidRDefault="00476A5B">
      <w:pPr>
        <w:pStyle w:val="FootnoteText"/>
      </w:pPr>
      <w:r>
        <w:rPr>
          <w:rStyle w:val="FootnoteReference"/>
        </w:rPr>
        <w:footnoteRef/>
      </w:r>
      <w:r>
        <w:t xml:space="preserve"> Empowered Lives, ‘Supporting Victorians with a disability during COVID-19 restrictions’ (July 2020) Published by the Victorian Council of Social Services, </w:t>
      </w:r>
      <w:hyperlink r:id="rId4" w:history="1">
        <w:r w:rsidRPr="00B30882">
          <w:rPr>
            <w:rStyle w:val="Hyperlink"/>
          </w:rPr>
          <w:t>http://empoweredlives.vcoss.org.au/wp-content/uploads/2020/07/Empowered-Lives-Statement-on-COVID-19-Support-for-People-with-Disability-July-2020.pdf</w:t>
        </w:r>
      </w:hyperlink>
      <w:r>
        <w:t xml:space="preserve">. </w:t>
      </w:r>
    </w:p>
  </w:footnote>
  <w:footnote w:id="16">
    <w:p w14:paraId="2B38AC5C" w14:textId="169FFA3E" w:rsidR="00476A5B" w:rsidRDefault="00476A5B">
      <w:pPr>
        <w:pStyle w:val="FootnoteText"/>
      </w:pPr>
      <w:r>
        <w:rPr>
          <w:rStyle w:val="FootnoteReference"/>
        </w:rPr>
        <w:footnoteRef/>
      </w:r>
      <w:r>
        <w:t xml:space="preserve"> OPA notes here the COVID-19 Planning Resource for People with Disability Australia, designed to help people with disability to get the facts about Coronavirus (COVID-19) and make a plan for how they will manage the impact of this situation. </w:t>
      </w:r>
    </w:p>
  </w:footnote>
  <w:footnote w:id="17">
    <w:p w14:paraId="54A5ED1D" w14:textId="2211E8D5" w:rsidR="00476A5B" w:rsidRDefault="00476A5B">
      <w:pPr>
        <w:pStyle w:val="FootnoteText"/>
      </w:pPr>
      <w:r>
        <w:rPr>
          <w:rStyle w:val="FootnoteReference"/>
        </w:rPr>
        <w:footnoteRef/>
      </w:r>
      <w:r>
        <w:t xml:space="preserve"> Department of Health and Human Services (Vic), ‘Coronavirus (COVID-19) isolation management in disability accommodation services’, May 2020, </w:t>
      </w:r>
      <w:hyperlink r:id="rId5" w:anchor="centre-based-disability-servicesnbsp" w:history="1">
        <w:r w:rsidRPr="00E27917">
          <w:rPr>
            <w:rStyle w:val="Hyperlink"/>
          </w:rPr>
          <w:t>https://www.dhhs.vic.gov.au/information-community-services-coronavirus-covid-19#centre-based-disability-servicesnbsp</w:t>
        </w:r>
      </w:hyperlink>
      <w:r>
        <w:t>.</w:t>
      </w:r>
    </w:p>
  </w:footnote>
  <w:footnote w:id="18">
    <w:p w14:paraId="26A96E70" w14:textId="7A27A18F" w:rsidR="00476A5B" w:rsidRDefault="00476A5B">
      <w:pPr>
        <w:pStyle w:val="FootnoteText"/>
      </w:pPr>
      <w:r>
        <w:rPr>
          <w:rStyle w:val="FootnoteReference"/>
        </w:rPr>
        <w:footnoteRef/>
      </w:r>
      <w:r>
        <w:t xml:space="preserve"> Ibid, 4.</w:t>
      </w:r>
    </w:p>
  </w:footnote>
  <w:footnote w:id="19">
    <w:p w14:paraId="534A8D28" w14:textId="30ABB73D" w:rsidR="00476A5B" w:rsidRDefault="00476A5B">
      <w:pPr>
        <w:pStyle w:val="FootnoteText"/>
      </w:pPr>
      <w:r>
        <w:rPr>
          <w:rStyle w:val="FootnoteReference"/>
        </w:rPr>
        <w:footnoteRef/>
      </w:r>
      <w:r>
        <w:t xml:space="preserve"> This example comes from personal communication with an OPA Disability Act Officer.</w:t>
      </w:r>
    </w:p>
  </w:footnote>
  <w:footnote w:id="20">
    <w:p w14:paraId="6C7D9E41" w14:textId="4904BF4A" w:rsidR="00476A5B" w:rsidRDefault="00476A5B">
      <w:pPr>
        <w:pStyle w:val="FootnoteText"/>
      </w:pPr>
      <w:r>
        <w:rPr>
          <w:rStyle w:val="FootnoteReference"/>
        </w:rPr>
        <w:footnoteRef/>
      </w:r>
      <w:r>
        <w:t xml:space="preserve"> OPA notes the further response from the Council on Homeless Persons, in welcoming the continued hotel scheme and move towards rentals, reinforcing that investment in social housing needs to continue to help people once their private lease expires: “Victoria’s homeless hotel program extended” </w:t>
      </w:r>
      <w:r w:rsidRPr="007C5BF6">
        <w:rPr>
          <w:i/>
        </w:rPr>
        <w:t>The Times</w:t>
      </w:r>
      <w:r>
        <w:t>, 28 July 2020 &lt;</w:t>
      </w:r>
      <w:r w:rsidRPr="009A29AE">
        <w:t>https://www.victorharbortimes.com.au/story/6852452/victorias-homeless-hotel-program-extended/</w:t>
      </w:r>
      <w:r>
        <w:t>&gt;.</w:t>
      </w:r>
    </w:p>
  </w:footnote>
  <w:footnote w:id="21">
    <w:p w14:paraId="4695FAE9" w14:textId="709CF484" w:rsidR="00476A5B" w:rsidRDefault="00476A5B">
      <w:pPr>
        <w:pStyle w:val="FootnoteText"/>
      </w:pPr>
      <w:r>
        <w:rPr>
          <w:rStyle w:val="FootnoteReference"/>
        </w:rPr>
        <w:footnoteRef/>
      </w:r>
      <w:r>
        <w:t xml:space="preserve"> NDIS, </w:t>
      </w:r>
      <w:r w:rsidRPr="00B60664">
        <w:rPr>
          <w:i/>
        </w:rPr>
        <w:t>For participants – coronavirus (COVID-19)</w:t>
      </w:r>
      <w:r>
        <w:t xml:space="preserve"> “What is the NDIS doing to help participants?” &lt;</w:t>
      </w:r>
      <w:hyperlink r:id="rId6" w:history="1">
        <w:r w:rsidRPr="00285B4B">
          <w:rPr>
            <w:rStyle w:val="Hyperlink"/>
          </w:rPr>
          <w:t>https://www.ndis.gov.au/coronavirus/participants-coronavirus-covid-19</w:t>
        </w:r>
      </w:hyperlink>
      <w:r>
        <w:t>&gt; accessed 28 June 2020.</w:t>
      </w:r>
    </w:p>
  </w:footnote>
  <w:footnote w:id="22">
    <w:p w14:paraId="39DB0F42" w14:textId="71734AD0" w:rsidR="00476A5B" w:rsidRDefault="00476A5B">
      <w:pPr>
        <w:pStyle w:val="FootnoteText"/>
      </w:pPr>
      <w:r>
        <w:rPr>
          <w:rStyle w:val="FootnoteReference"/>
        </w:rPr>
        <w:footnoteRef/>
      </w:r>
      <w:r>
        <w:t xml:space="preserve"> United Nations </w:t>
      </w:r>
      <w:r w:rsidRPr="00375AAD">
        <w:t>Subcommittee on Prevention of Torture and Other Cruel, Inhuman or Degrading Treatment or Punishment</w:t>
      </w:r>
      <w:r>
        <w:t>,</w:t>
      </w:r>
      <w:r w:rsidRPr="00375AAD">
        <w:t xml:space="preserve"> </w:t>
      </w:r>
      <w:r>
        <w:t>‘</w:t>
      </w:r>
      <w:r w:rsidRPr="00670A28">
        <w:t>Advice of the Subcommittee to States parties and national preventive mechanisms relating to the coronavirus disease (COVID-19) pandemic</w:t>
      </w:r>
      <w:r>
        <w:t>’, CAT/OP/10, 2.</w:t>
      </w:r>
    </w:p>
  </w:footnote>
  <w:footnote w:id="23">
    <w:p w14:paraId="5DE217FC" w14:textId="2DFE3C6E" w:rsidR="00476A5B" w:rsidRDefault="00476A5B">
      <w:pPr>
        <w:pStyle w:val="FootnoteText"/>
      </w:pPr>
      <w:r>
        <w:rPr>
          <w:rStyle w:val="FootnoteReference"/>
        </w:rPr>
        <w:footnoteRef/>
      </w:r>
      <w:r>
        <w:t xml:space="preserve"> Ibid, 5.</w:t>
      </w:r>
    </w:p>
  </w:footnote>
  <w:footnote w:id="24">
    <w:p w14:paraId="4F903F67" w14:textId="6A9AE4F7" w:rsidR="00476A5B" w:rsidRDefault="00476A5B">
      <w:pPr>
        <w:pStyle w:val="FootnoteText"/>
      </w:pPr>
      <w:r>
        <w:rPr>
          <w:rStyle w:val="FootnoteReference"/>
        </w:rPr>
        <w:footnoteRef/>
      </w:r>
      <w:r>
        <w:t xml:space="preserve"> Ombudsman (Vic), ‘</w:t>
      </w:r>
      <w:r w:rsidRPr="0056274D">
        <w:t>Ombudsman announces investigation into treatment of public housing tenants in lockdown</w:t>
      </w:r>
      <w:r>
        <w:t xml:space="preserve">’, Media Release, 17 July 2020, </w:t>
      </w:r>
      <w:hyperlink r:id="rId7" w:history="1">
        <w:r w:rsidRPr="00B30882">
          <w:rPr>
            <w:rStyle w:val="Hyperlink"/>
          </w:rPr>
          <w:t>https://www.ombudsman.vic.gov.au/our-impact/news/ombudsman-announces-investigation-into-treatment-of-public-housing-tenants-in-lockdown/</w:t>
        </w:r>
      </w:hyperlink>
      <w:r>
        <w:t xml:space="preserve"> </w:t>
      </w:r>
    </w:p>
  </w:footnote>
  <w:footnote w:id="25">
    <w:p w14:paraId="71E50576" w14:textId="2C95F7B1" w:rsidR="00476A5B" w:rsidRDefault="00476A5B">
      <w:pPr>
        <w:pStyle w:val="FootnoteText"/>
      </w:pPr>
      <w:r>
        <w:rPr>
          <w:rStyle w:val="FootnoteReference"/>
        </w:rPr>
        <w:footnoteRef/>
      </w:r>
      <w:r>
        <w:t xml:space="preserve"> AFDO, </w:t>
      </w:r>
      <w:r w:rsidRPr="003A3DAE">
        <w:rPr>
          <w:i/>
          <w:iCs/>
        </w:rPr>
        <w:t>Statement of Concern, COVID-19: Human Rights, Disability and Ethical Decision-Making</w:t>
      </w:r>
      <w:r>
        <w:t xml:space="preserve"> (2020) </w:t>
      </w:r>
      <w:hyperlink r:id="rId8" w:history="1">
        <w:r w:rsidRPr="00360971">
          <w:rPr>
            <w:rStyle w:val="Hyperlink"/>
          </w:rPr>
          <w:t>https://www.afdo.org.au/wp-content/uploads/2020/04/Statement-of-Concern-COVID-19-Human-rights-disability-and-ethical-decision-making_Final.pdf</w:t>
        </w:r>
      </w:hyperlink>
      <w:r>
        <w:t xml:space="preserve"> </w:t>
      </w:r>
    </w:p>
  </w:footnote>
  <w:footnote w:id="26">
    <w:p w14:paraId="2A36EA18" w14:textId="1A4EF0D8" w:rsidR="00476A5B" w:rsidRDefault="00476A5B">
      <w:pPr>
        <w:pStyle w:val="FootnoteText"/>
      </w:pPr>
      <w:r>
        <w:rPr>
          <w:rStyle w:val="FootnoteReference"/>
        </w:rPr>
        <w:footnoteRef/>
      </w:r>
      <w:r>
        <w:t xml:space="preserve"> Corina Knoll, Ali Watkins and Michael Rothfeld, “’I Couldn’t Do Anything’: the Virus and an E.R. Doctor’s Suicide”, (11 July 2020) </w:t>
      </w:r>
      <w:r>
        <w:rPr>
          <w:i/>
          <w:iCs/>
        </w:rPr>
        <w:t xml:space="preserve">New York </w:t>
      </w:r>
      <w:r w:rsidRPr="00CE215E">
        <w:rPr>
          <w:i/>
          <w:iCs/>
        </w:rPr>
        <w:t>Times</w:t>
      </w:r>
      <w:r>
        <w:t xml:space="preserve">, </w:t>
      </w:r>
      <w:r w:rsidRPr="00CE215E">
        <w:t>https</w:t>
      </w:r>
      <w:r w:rsidRPr="0009101D">
        <w:t>://www.nytimes.com/2020/07/11/nyregion/lorna-breen-suicide-coronavirus.html</w:t>
      </w:r>
    </w:p>
  </w:footnote>
  <w:footnote w:id="27">
    <w:p w14:paraId="7154F868" w14:textId="2DC22582" w:rsidR="00476A5B" w:rsidRDefault="00476A5B" w:rsidP="00B61B9F">
      <w:pPr>
        <w:pStyle w:val="FootnoteText"/>
      </w:pPr>
      <w:r>
        <w:rPr>
          <w:rStyle w:val="FootnoteReference"/>
        </w:rPr>
        <w:footnoteRef/>
      </w:r>
      <w:r>
        <w:t xml:space="preserve"> Clare Stroud, Bruce M. Altevogt, Lori Nadig, and Matthew Hougan, </w:t>
      </w:r>
      <w:r w:rsidRPr="00846656">
        <w:rPr>
          <w:i/>
          <w:iCs/>
        </w:rPr>
        <w:t>Crisis Standards of Care: Summary of a Workshop Series</w:t>
      </w:r>
      <w:r>
        <w:t xml:space="preserve"> (2010) Institute of Medicine, </w:t>
      </w:r>
      <w:r w:rsidRPr="000665F7">
        <w:t>http://www.nap.edu/catalog/12787.html</w:t>
      </w:r>
    </w:p>
  </w:footnote>
  <w:footnote w:id="28">
    <w:p w14:paraId="3899FF56" w14:textId="4EA83265" w:rsidR="00476A5B" w:rsidRDefault="00476A5B" w:rsidP="00217D2F">
      <w:pPr>
        <w:pStyle w:val="FootnoteText"/>
      </w:pPr>
      <w:r>
        <w:rPr>
          <w:rStyle w:val="FootnoteReference"/>
        </w:rPr>
        <w:footnoteRef/>
      </w:r>
      <w:r>
        <w:t xml:space="preserve"> The Pandemic Influenza Ethics Initiative Work Group Of The Veterans Health Administration’s National Center For Ethics In Health Care,</w:t>
      </w:r>
      <w:r w:rsidRPr="00DA0C20">
        <w:t xml:space="preserve"> ‘Meeting The Challenge Of Pandemic Influenza: Ethical Guidance For Leaders And Health Care Professionals In The Veterans Health Administration’</w:t>
      </w:r>
      <w:r>
        <w:t xml:space="preserve"> (2010)</w:t>
      </w:r>
      <w:r w:rsidRPr="00D12823">
        <w:t xml:space="preserve"> </w:t>
      </w:r>
      <w:hyperlink r:id="rId9" w:history="1">
        <w:r w:rsidRPr="00B30882">
          <w:rPr>
            <w:rStyle w:val="Hyperlink"/>
          </w:rPr>
          <w:t>https://www.ethics.va.gov/docs/policy/meeting_the_challenge_of_pan_flu_ethical_guidance_vha_2010_web_posting_2013.pdf</w:t>
        </w:r>
      </w:hyperlink>
      <w:r>
        <w:t xml:space="preserve">. </w:t>
      </w:r>
    </w:p>
  </w:footnote>
  <w:footnote w:id="29">
    <w:p w14:paraId="1CAAD012" w14:textId="43BD4541" w:rsidR="00476A5B" w:rsidRDefault="00476A5B">
      <w:pPr>
        <w:pStyle w:val="FootnoteText"/>
      </w:pPr>
      <w:r>
        <w:rPr>
          <w:rStyle w:val="FootnoteReference"/>
        </w:rPr>
        <w:footnoteRef/>
      </w:r>
      <w:r>
        <w:t xml:space="preserve"> Ibid 27.</w:t>
      </w:r>
    </w:p>
  </w:footnote>
  <w:footnote w:id="30">
    <w:p w14:paraId="53250A78" w14:textId="0506AA1E" w:rsidR="00476A5B" w:rsidRDefault="00476A5B">
      <w:pPr>
        <w:pStyle w:val="FootnoteText"/>
      </w:pPr>
      <w:r>
        <w:rPr>
          <w:rStyle w:val="FootnoteReference"/>
        </w:rPr>
        <w:footnoteRef/>
      </w:r>
      <w:r>
        <w:t xml:space="preserve"> Ibid 28-29.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15E37" w14:textId="77777777" w:rsidR="00476A5B" w:rsidRDefault="00476A5B" w:rsidP="00C547BB">
    <w:pPr>
      <w:pStyle w:val="Header"/>
      <w:ind w:left="-1134" w:righ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9E868" w14:textId="77777777" w:rsidR="00476A5B" w:rsidRDefault="00476A5B" w:rsidP="00C547BB">
    <w:pPr>
      <w:pStyle w:val="Header"/>
      <w:ind w:left="-1134"/>
    </w:pPr>
    <w:r>
      <w:rPr>
        <w:noProof/>
      </w:rPr>
      <mc:AlternateContent>
        <mc:Choice Requires="wps">
          <w:drawing>
            <wp:anchor distT="0" distB="0" distL="114300" distR="114300" simplePos="0" relativeHeight="251658240" behindDoc="0" locked="0" layoutInCell="1" allowOverlap="1" wp14:anchorId="6077E447" wp14:editId="727D4FFB">
              <wp:simplePos x="0" y="0"/>
              <wp:positionH relativeFrom="column">
                <wp:posOffset>-41910</wp:posOffset>
              </wp:positionH>
              <wp:positionV relativeFrom="paragraph">
                <wp:posOffset>1097280</wp:posOffset>
              </wp:positionV>
              <wp:extent cx="5311140" cy="8229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1140" cy="822960"/>
                      </a:xfrm>
                      <a:prstGeom prst="rect">
                        <a:avLst/>
                      </a:prstGeom>
                      <a:solidFill>
                        <a:sysClr val="window" lastClr="FFFFFF"/>
                      </a:solidFill>
                      <a:ln w="6350">
                        <a:noFill/>
                      </a:ln>
                      <a:effectLst/>
                    </wps:spPr>
                    <wps:txbx>
                      <w:txbxContent>
                        <w:p w14:paraId="78B182C8" w14:textId="77777777" w:rsidR="00476A5B" w:rsidRPr="00273124" w:rsidRDefault="00476A5B">
                          <w:pPr>
                            <w:rPr>
                              <w:color w:val="5B9BD5" w:themeColor="accent1"/>
                              <w:sz w:val="28"/>
                            </w:rPr>
                          </w:pPr>
                          <w:r w:rsidRPr="00273124">
                            <w:rPr>
                              <w:color w:val="5B9BD5" w:themeColor="accent1"/>
                              <w:sz w:val="28"/>
                            </w:rPr>
                            <w:t>Safeguarding the rights and interests of people with 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077E447" id="_x0000_t202" coordsize="21600,21600" o:spt="202" path="m,l,21600r21600,l21600,xe">
              <v:stroke joinstyle="miter"/>
              <v:path gradientshapeok="t" o:connecttype="rect"/>
            </v:shapetype>
            <v:shape id="Text Box 7" o:spid="_x0000_s1026" type="#_x0000_t202" style="position:absolute;left:0;text-align:left;margin-left:-3.3pt;margin-top:86.4pt;width:418.2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" fillcolor="window" stroked="f" strokeweight=".5pt">
              <v:textbox>
                <w:txbxContent>
                  <w:p w14:paraId="78B182C8" w14:textId="77777777" w:rsidR="00476A5B" w:rsidRPr="00273124" w:rsidRDefault="00476A5B">
                    <w:pPr>
                      <w:rPr>
                        <w:color w:val="5B9BD5" w:themeColor="accent1"/>
                        <w:sz w:val="28"/>
                      </w:rPr>
                    </w:pPr>
                    <w:r w:rsidRPr="00273124">
                      <w:rPr>
                        <w:color w:val="5B9BD5" w:themeColor="accent1"/>
                        <w:sz w:val="28"/>
                      </w:rPr>
                      <w:t>Safeguarding the rights and interests of people with disability</w:t>
                    </w:r>
                  </w:p>
                </w:txbxContent>
              </v:textbox>
            </v:shape>
          </w:pict>
        </mc:Fallback>
      </mc:AlternateContent>
    </w:r>
    <w:r>
      <w:rPr>
        <w:noProof/>
      </w:rPr>
      <w:drawing>
        <wp:inline distT="0" distB="0" distL="0" distR="0" wp14:anchorId="4C72485E" wp14:editId="574F2579">
          <wp:extent cx="7618704" cy="2537460"/>
          <wp:effectExtent l="0" t="0" r="1905"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header.JPG"/>
                  <pic:cNvPicPr/>
                </pic:nvPicPr>
                <pic:blipFill>
                  <a:blip r:embed="rId1">
                    <a:extLst>
                      <a:ext uri="{28A0092B-C50C-407E-A947-70E740481C1C}">
                        <a14:useLocalDpi xmlns:a14="http://schemas.microsoft.com/office/drawing/2010/main" val="0"/>
                      </a:ext>
                    </a:extLst>
                  </a:blip>
                  <a:stretch>
                    <a:fillRect/>
                  </a:stretch>
                </pic:blipFill>
                <pic:spPr>
                  <a:xfrm>
                    <a:off x="0" y="0"/>
                    <a:ext cx="7634039" cy="25425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F8C7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72F6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D07A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EA6F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77618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F6AE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BAF9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DEE1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4A14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107A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4C721F"/>
    <w:multiLevelType w:val="multilevel"/>
    <w:tmpl w:val="B544A65C"/>
    <w:lvl w:ilvl="0">
      <w:start w:val="1"/>
      <w:numFmt w:val="decimal"/>
      <w:lvlText w:val="%1."/>
      <w:lvlJc w:val="left"/>
      <w:pPr>
        <w:ind w:left="357" w:hanging="357"/>
      </w:pPr>
      <w:rPr>
        <w:rFonts w:ascii="Arial" w:hAnsi="Arial" w:cs="Arial" w:hint="default"/>
        <w:color w:val="auto"/>
      </w:rPr>
    </w:lvl>
    <w:lvl w:ilvl="1">
      <w:start w:val="1"/>
      <w:numFmt w:val="decimal"/>
      <w:lvlText w:val="%1.%2."/>
      <w:lvlJc w:val="left"/>
      <w:pPr>
        <w:ind w:left="714" w:hanging="357"/>
      </w:pPr>
      <w:rPr>
        <w:rFonts w:hint="default"/>
      </w:rPr>
    </w:lvl>
    <w:lvl w:ilvl="2">
      <w:start w:val="1"/>
      <w:numFmt w:val="decimal"/>
      <w:lvlText w:val="%1.%2.%3."/>
      <w:lvlJc w:val="left"/>
      <w:pPr>
        <w:ind w:left="783"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1" w15:restartNumberingAfterBreak="0">
    <w:nsid w:val="11201D5C"/>
    <w:multiLevelType w:val="hybridMultilevel"/>
    <w:tmpl w:val="A322F02C"/>
    <w:lvl w:ilvl="0" w:tplc="BAEECC3C">
      <w:numFmt w:val="bullet"/>
      <w:lvlText w:val="-"/>
      <w:lvlJc w:val="left"/>
      <w:pPr>
        <w:ind w:left="1069" w:hanging="360"/>
      </w:pPr>
      <w:rPr>
        <w:rFonts w:ascii="Arial" w:eastAsia="Calibri"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15:restartNumberingAfterBreak="0">
    <w:nsid w:val="126C6D5C"/>
    <w:multiLevelType w:val="multilevel"/>
    <w:tmpl w:val="3EACAC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BA303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24A16394"/>
    <w:multiLevelType w:val="hybridMultilevel"/>
    <w:tmpl w:val="31F87070"/>
    <w:lvl w:ilvl="0" w:tplc="49B63FC0">
      <w:numFmt w:val="bullet"/>
      <w:lvlText w:val="-"/>
      <w:lvlJc w:val="left"/>
      <w:pPr>
        <w:ind w:left="1069" w:hanging="360"/>
      </w:pPr>
      <w:rPr>
        <w:rFonts w:ascii="Arial" w:eastAsia="Calibri"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28521A80"/>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320B4C"/>
    <w:multiLevelType w:val="multilevel"/>
    <w:tmpl w:val="167E6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136863"/>
    <w:multiLevelType w:val="multilevel"/>
    <w:tmpl w:val="CC74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0104AC"/>
    <w:multiLevelType w:val="multilevel"/>
    <w:tmpl w:val="DEEA4F3E"/>
    <w:numStyleLink w:val="ZZTablebullets"/>
  </w:abstractNum>
  <w:abstractNum w:abstractNumId="19" w15:restartNumberingAfterBreak="0">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41611C2"/>
    <w:multiLevelType w:val="multilevel"/>
    <w:tmpl w:val="DEEA4F3E"/>
    <w:styleLink w:val="ZZTablebullets"/>
    <w:lvl w:ilvl="0">
      <w:start w:val="1"/>
      <w:numFmt w:val="bullet"/>
      <w:pStyle w:val="OPAtablebullet1"/>
      <w:lvlText w:val="•"/>
      <w:lvlJc w:val="left"/>
      <w:pPr>
        <w:ind w:left="227" w:hanging="227"/>
      </w:pPr>
      <w:rPr>
        <w:rFonts w:ascii="Calibri" w:hAnsi="Calibri" w:hint="default"/>
      </w:rPr>
    </w:lvl>
    <w:lvl w:ilvl="1">
      <w:start w:val="1"/>
      <w:numFmt w:val="bullet"/>
      <w:lvlRestart w:val="0"/>
      <w:pStyle w:val="OPA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D7F269A"/>
    <w:multiLevelType w:val="multilevel"/>
    <w:tmpl w:val="2EE68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604DD4"/>
    <w:multiLevelType w:val="hybridMultilevel"/>
    <w:tmpl w:val="6CAC61DE"/>
    <w:lvl w:ilvl="0" w:tplc="D28CBFBE">
      <w:numFmt w:val="bullet"/>
      <w:lvlText w:val="-"/>
      <w:lvlJc w:val="left"/>
      <w:pPr>
        <w:ind w:left="1069" w:hanging="360"/>
      </w:pPr>
      <w:rPr>
        <w:rFonts w:ascii="Arial" w:eastAsia="Calibri"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3" w15:restartNumberingAfterBreak="0">
    <w:nsid w:val="659E2A44"/>
    <w:multiLevelType w:val="multilevel"/>
    <w:tmpl w:val="61A801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876C92"/>
    <w:multiLevelType w:val="multilevel"/>
    <w:tmpl w:val="E146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9"/>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8"/>
  </w:num>
  <w:num w:numId="16">
    <w:abstractNumId w:val="10"/>
  </w:num>
  <w:num w:numId="17">
    <w:abstractNumId w:val="11"/>
  </w:num>
  <w:num w:numId="18">
    <w:abstractNumId w:val="22"/>
  </w:num>
  <w:num w:numId="19">
    <w:abstractNumId w:val="17"/>
  </w:num>
  <w:num w:numId="20">
    <w:abstractNumId w:val="24"/>
  </w:num>
  <w:num w:numId="21">
    <w:abstractNumId w:val="14"/>
  </w:num>
  <w:num w:numId="22">
    <w:abstractNumId w:val="21"/>
  </w:num>
  <w:num w:numId="23">
    <w:abstractNumId w:val="16"/>
  </w:num>
  <w:num w:numId="24">
    <w:abstractNumId w:val="12"/>
  </w:num>
  <w:num w:numId="25">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F0A"/>
    <w:rsid w:val="000005C6"/>
    <w:rsid w:val="00001078"/>
    <w:rsid w:val="0000232F"/>
    <w:rsid w:val="00003246"/>
    <w:rsid w:val="00003964"/>
    <w:rsid w:val="00003A30"/>
    <w:rsid w:val="00004104"/>
    <w:rsid w:val="00004424"/>
    <w:rsid w:val="000049AE"/>
    <w:rsid w:val="000052BC"/>
    <w:rsid w:val="00005432"/>
    <w:rsid w:val="00005439"/>
    <w:rsid w:val="000056D0"/>
    <w:rsid w:val="00007310"/>
    <w:rsid w:val="000104FD"/>
    <w:rsid w:val="00010CF4"/>
    <w:rsid w:val="00010D27"/>
    <w:rsid w:val="000114BE"/>
    <w:rsid w:val="00011FA8"/>
    <w:rsid w:val="000137AA"/>
    <w:rsid w:val="00013940"/>
    <w:rsid w:val="00013DA5"/>
    <w:rsid w:val="000140CD"/>
    <w:rsid w:val="000151C5"/>
    <w:rsid w:val="000153EE"/>
    <w:rsid w:val="000156AF"/>
    <w:rsid w:val="0001620D"/>
    <w:rsid w:val="00016396"/>
    <w:rsid w:val="00016F4D"/>
    <w:rsid w:val="00017D45"/>
    <w:rsid w:val="00020B4A"/>
    <w:rsid w:val="00020C2B"/>
    <w:rsid w:val="00020FD4"/>
    <w:rsid w:val="00021BCB"/>
    <w:rsid w:val="00021CCA"/>
    <w:rsid w:val="00021F3C"/>
    <w:rsid w:val="0002238B"/>
    <w:rsid w:val="00022987"/>
    <w:rsid w:val="0002427F"/>
    <w:rsid w:val="0002455A"/>
    <w:rsid w:val="0002512F"/>
    <w:rsid w:val="00025923"/>
    <w:rsid w:val="00025AA5"/>
    <w:rsid w:val="00025C21"/>
    <w:rsid w:val="00026068"/>
    <w:rsid w:val="00026338"/>
    <w:rsid w:val="000267B0"/>
    <w:rsid w:val="000279D3"/>
    <w:rsid w:val="00027E6D"/>
    <w:rsid w:val="00030024"/>
    <w:rsid w:val="00030548"/>
    <w:rsid w:val="00030659"/>
    <w:rsid w:val="00031925"/>
    <w:rsid w:val="0003195A"/>
    <w:rsid w:val="00032511"/>
    <w:rsid w:val="000335D6"/>
    <w:rsid w:val="00033F0B"/>
    <w:rsid w:val="000340FB"/>
    <w:rsid w:val="000342FD"/>
    <w:rsid w:val="00034AE3"/>
    <w:rsid w:val="00035428"/>
    <w:rsid w:val="000358F1"/>
    <w:rsid w:val="00035CF1"/>
    <w:rsid w:val="00036B9A"/>
    <w:rsid w:val="00036EAE"/>
    <w:rsid w:val="00037DC3"/>
    <w:rsid w:val="00037EBC"/>
    <w:rsid w:val="000402D7"/>
    <w:rsid w:val="0004045B"/>
    <w:rsid w:val="00040FB9"/>
    <w:rsid w:val="00041537"/>
    <w:rsid w:val="00041662"/>
    <w:rsid w:val="000426CF"/>
    <w:rsid w:val="000426E4"/>
    <w:rsid w:val="00042F36"/>
    <w:rsid w:val="0004368F"/>
    <w:rsid w:val="00043DC0"/>
    <w:rsid w:val="00045209"/>
    <w:rsid w:val="000456CF"/>
    <w:rsid w:val="0004648E"/>
    <w:rsid w:val="000465B4"/>
    <w:rsid w:val="000465C7"/>
    <w:rsid w:val="0004695D"/>
    <w:rsid w:val="00047516"/>
    <w:rsid w:val="00047B20"/>
    <w:rsid w:val="00050199"/>
    <w:rsid w:val="0005030E"/>
    <w:rsid w:val="0005088C"/>
    <w:rsid w:val="00050895"/>
    <w:rsid w:val="00050926"/>
    <w:rsid w:val="00050979"/>
    <w:rsid w:val="00050BDF"/>
    <w:rsid w:val="00051535"/>
    <w:rsid w:val="000523E1"/>
    <w:rsid w:val="00052AB6"/>
    <w:rsid w:val="00052E29"/>
    <w:rsid w:val="00053A80"/>
    <w:rsid w:val="00053F4C"/>
    <w:rsid w:val="000540DB"/>
    <w:rsid w:val="000541FF"/>
    <w:rsid w:val="00054646"/>
    <w:rsid w:val="00054647"/>
    <w:rsid w:val="0005483B"/>
    <w:rsid w:val="0005515D"/>
    <w:rsid w:val="00055300"/>
    <w:rsid w:val="0005608B"/>
    <w:rsid w:val="000566AB"/>
    <w:rsid w:val="0005721B"/>
    <w:rsid w:val="00060ACF"/>
    <w:rsid w:val="000613FB"/>
    <w:rsid w:val="0006166C"/>
    <w:rsid w:val="00061EEB"/>
    <w:rsid w:val="00062B0A"/>
    <w:rsid w:val="00062CA1"/>
    <w:rsid w:val="0006424B"/>
    <w:rsid w:val="00064390"/>
    <w:rsid w:val="000646C6"/>
    <w:rsid w:val="00064D3D"/>
    <w:rsid w:val="00064E90"/>
    <w:rsid w:val="000656DB"/>
    <w:rsid w:val="00066079"/>
    <w:rsid w:val="00066096"/>
    <w:rsid w:val="000665F7"/>
    <w:rsid w:val="00066838"/>
    <w:rsid w:val="00066914"/>
    <w:rsid w:val="000671EE"/>
    <w:rsid w:val="00067367"/>
    <w:rsid w:val="00067775"/>
    <w:rsid w:val="0006785A"/>
    <w:rsid w:val="00067F80"/>
    <w:rsid w:val="0007027B"/>
    <w:rsid w:val="00070588"/>
    <w:rsid w:val="0007075D"/>
    <w:rsid w:val="00070900"/>
    <w:rsid w:val="00070F02"/>
    <w:rsid w:val="00071337"/>
    <w:rsid w:val="00071D56"/>
    <w:rsid w:val="00073049"/>
    <w:rsid w:val="0007411F"/>
    <w:rsid w:val="000742F8"/>
    <w:rsid w:val="00074519"/>
    <w:rsid w:val="00076385"/>
    <w:rsid w:val="00076492"/>
    <w:rsid w:val="0007672E"/>
    <w:rsid w:val="00076940"/>
    <w:rsid w:val="000775D4"/>
    <w:rsid w:val="0008077A"/>
    <w:rsid w:val="00080E27"/>
    <w:rsid w:val="00081AD6"/>
    <w:rsid w:val="000824D1"/>
    <w:rsid w:val="00082E16"/>
    <w:rsid w:val="00083A23"/>
    <w:rsid w:val="00084230"/>
    <w:rsid w:val="00084A14"/>
    <w:rsid w:val="00084AE8"/>
    <w:rsid w:val="00084F90"/>
    <w:rsid w:val="00085411"/>
    <w:rsid w:val="0008557C"/>
    <w:rsid w:val="000856AA"/>
    <w:rsid w:val="00085742"/>
    <w:rsid w:val="00086218"/>
    <w:rsid w:val="00086C1A"/>
    <w:rsid w:val="00086C3C"/>
    <w:rsid w:val="00086D75"/>
    <w:rsid w:val="00087F5D"/>
    <w:rsid w:val="000907D2"/>
    <w:rsid w:val="00090BE7"/>
    <w:rsid w:val="00090C8E"/>
    <w:rsid w:val="0009101D"/>
    <w:rsid w:val="00091090"/>
    <w:rsid w:val="000910F4"/>
    <w:rsid w:val="00092DA7"/>
    <w:rsid w:val="00093155"/>
    <w:rsid w:val="000934D9"/>
    <w:rsid w:val="000934E6"/>
    <w:rsid w:val="000934FF"/>
    <w:rsid w:val="00093E45"/>
    <w:rsid w:val="00093E7B"/>
    <w:rsid w:val="000950CC"/>
    <w:rsid w:val="000954F5"/>
    <w:rsid w:val="00095B45"/>
    <w:rsid w:val="00095F81"/>
    <w:rsid w:val="00096799"/>
    <w:rsid w:val="00096B5C"/>
    <w:rsid w:val="00096F37"/>
    <w:rsid w:val="0009711A"/>
    <w:rsid w:val="0009775A"/>
    <w:rsid w:val="000979B4"/>
    <w:rsid w:val="000A0200"/>
    <w:rsid w:val="000A04EF"/>
    <w:rsid w:val="000A062A"/>
    <w:rsid w:val="000A14B2"/>
    <w:rsid w:val="000A18C0"/>
    <w:rsid w:val="000A1CE8"/>
    <w:rsid w:val="000A214B"/>
    <w:rsid w:val="000A21CE"/>
    <w:rsid w:val="000A242C"/>
    <w:rsid w:val="000A25C8"/>
    <w:rsid w:val="000A25CC"/>
    <w:rsid w:val="000A4010"/>
    <w:rsid w:val="000A4915"/>
    <w:rsid w:val="000A5468"/>
    <w:rsid w:val="000A5974"/>
    <w:rsid w:val="000A60C5"/>
    <w:rsid w:val="000A6842"/>
    <w:rsid w:val="000A6CF6"/>
    <w:rsid w:val="000A70DC"/>
    <w:rsid w:val="000A7DA8"/>
    <w:rsid w:val="000B0547"/>
    <w:rsid w:val="000B0F2F"/>
    <w:rsid w:val="000B17E7"/>
    <w:rsid w:val="000B2091"/>
    <w:rsid w:val="000B2D4C"/>
    <w:rsid w:val="000B2DD9"/>
    <w:rsid w:val="000B39C3"/>
    <w:rsid w:val="000B49B4"/>
    <w:rsid w:val="000B506C"/>
    <w:rsid w:val="000B5A8A"/>
    <w:rsid w:val="000B76E2"/>
    <w:rsid w:val="000B79B4"/>
    <w:rsid w:val="000B7C88"/>
    <w:rsid w:val="000C00B5"/>
    <w:rsid w:val="000C0656"/>
    <w:rsid w:val="000C0690"/>
    <w:rsid w:val="000C1510"/>
    <w:rsid w:val="000C28DB"/>
    <w:rsid w:val="000C2C67"/>
    <w:rsid w:val="000C3639"/>
    <w:rsid w:val="000C3C11"/>
    <w:rsid w:val="000C3D28"/>
    <w:rsid w:val="000C3D50"/>
    <w:rsid w:val="000C4285"/>
    <w:rsid w:val="000C4433"/>
    <w:rsid w:val="000C4553"/>
    <w:rsid w:val="000C5109"/>
    <w:rsid w:val="000C52C4"/>
    <w:rsid w:val="000C5712"/>
    <w:rsid w:val="000C6959"/>
    <w:rsid w:val="000C69F1"/>
    <w:rsid w:val="000C6E50"/>
    <w:rsid w:val="000C71AA"/>
    <w:rsid w:val="000C746F"/>
    <w:rsid w:val="000C753C"/>
    <w:rsid w:val="000D0830"/>
    <w:rsid w:val="000D0989"/>
    <w:rsid w:val="000D09E8"/>
    <w:rsid w:val="000D18EE"/>
    <w:rsid w:val="000D2B67"/>
    <w:rsid w:val="000D37B9"/>
    <w:rsid w:val="000D47B0"/>
    <w:rsid w:val="000D62DC"/>
    <w:rsid w:val="000D6485"/>
    <w:rsid w:val="000D64CE"/>
    <w:rsid w:val="000D71E0"/>
    <w:rsid w:val="000D79EC"/>
    <w:rsid w:val="000D7CDB"/>
    <w:rsid w:val="000E0190"/>
    <w:rsid w:val="000E060B"/>
    <w:rsid w:val="000E0954"/>
    <w:rsid w:val="000E0DE2"/>
    <w:rsid w:val="000E12F6"/>
    <w:rsid w:val="000E1C18"/>
    <w:rsid w:val="000E1F92"/>
    <w:rsid w:val="000E20D3"/>
    <w:rsid w:val="000E218B"/>
    <w:rsid w:val="000E249F"/>
    <w:rsid w:val="000E2800"/>
    <w:rsid w:val="000E380F"/>
    <w:rsid w:val="000E41A2"/>
    <w:rsid w:val="000E4492"/>
    <w:rsid w:val="000E4EE8"/>
    <w:rsid w:val="000E50C7"/>
    <w:rsid w:val="000E616B"/>
    <w:rsid w:val="000E63EF"/>
    <w:rsid w:val="000E65D2"/>
    <w:rsid w:val="000E6857"/>
    <w:rsid w:val="000E69FE"/>
    <w:rsid w:val="000E6AD2"/>
    <w:rsid w:val="000E733D"/>
    <w:rsid w:val="000E735C"/>
    <w:rsid w:val="000E79CC"/>
    <w:rsid w:val="000E7D59"/>
    <w:rsid w:val="000E7E05"/>
    <w:rsid w:val="000F00A4"/>
    <w:rsid w:val="000F0106"/>
    <w:rsid w:val="000F057A"/>
    <w:rsid w:val="000F0C3E"/>
    <w:rsid w:val="000F1022"/>
    <w:rsid w:val="000F11E8"/>
    <w:rsid w:val="000F227C"/>
    <w:rsid w:val="000F239B"/>
    <w:rsid w:val="000F2425"/>
    <w:rsid w:val="000F2FBF"/>
    <w:rsid w:val="000F43E0"/>
    <w:rsid w:val="000F4D16"/>
    <w:rsid w:val="000F4E65"/>
    <w:rsid w:val="000F6077"/>
    <w:rsid w:val="000F6158"/>
    <w:rsid w:val="000F72A1"/>
    <w:rsid w:val="000F7A73"/>
    <w:rsid w:val="00100226"/>
    <w:rsid w:val="00101136"/>
    <w:rsid w:val="00101A7C"/>
    <w:rsid w:val="00102096"/>
    <w:rsid w:val="00102C5A"/>
    <w:rsid w:val="00103F1C"/>
    <w:rsid w:val="001044E8"/>
    <w:rsid w:val="00104525"/>
    <w:rsid w:val="00104EC8"/>
    <w:rsid w:val="001051E5"/>
    <w:rsid w:val="0010568C"/>
    <w:rsid w:val="0010612C"/>
    <w:rsid w:val="0010648A"/>
    <w:rsid w:val="0010677E"/>
    <w:rsid w:val="0010761B"/>
    <w:rsid w:val="00107C0C"/>
    <w:rsid w:val="0011057B"/>
    <w:rsid w:val="001108C1"/>
    <w:rsid w:val="001115DD"/>
    <w:rsid w:val="00111CD0"/>
    <w:rsid w:val="00111DEF"/>
    <w:rsid w:val="00112327"/>
    <w:rsid w:val="00112482"/>
    <w:rsid w:val="0011258D"/>
    <w:rsid w:val="00114959"/>
    <w:rsid w:val="00115BCF"/>
    <w:rsid w:val="00116664"/>
    <w:rsid w:val="001167F7"/>
    <w:rsid w:val="00117454"/>
    <w:rsid w:val="001174F6"/>
    <w:rsid w:val="00117565"/>
    <w:rsid w:val="00117C50"/>
    <w:rsid w:val="0012045E"/>
    <w:rsid w:val="00120664"/>
    <w:rsid w:val="00121D8B"/>
    <w:rsid w:val="00121D8C"/>
    <w:rsid w:val="00121F56"/>
    <w:rsid w:val="00123B9C"/>
    <w:rsid w:val="00123D74"/>
    <w:rsid w:val="00124233"/>
    <w:rsid w:val="00124797"/>
    <w:rsid w:val="00124A43"/>
    <w:rsid w:val="0012534E"/>
    <w:rsid w:val="001265BE"/>
    <w:rsid w:val="00126C07"/>
    <w:rsid w:val="00127B80"/>
    <w:rsid w:val="001301D2"/>
    <w:rsid w:val="00130E34"/>
    <w:rsid w:val="001316B0"/>
    <w:rsid w:val="001318C0"/>
    <w:rsid w:val="00133317"/>
    <w:rsid w:val="00133385"/>
    <w:rsid w:val="00133D18"/>
    <w:rsid w:val="00133FB6"/>
    <w:rsid w:val="00134182"/>
    <w:rsid w:val="001354C4"/>
    <w:rsid w:val="001378A8"/>
    <w:rsid w:val="00137CA8"/>
    <w:rsid w:val="00137F9C"/>
    <w:rsid w:val="0014054F"/>
    <w:rsid w:val="00140639"/>
    <w:rsid w:val="0014096C"/>
    <w:rsid w:val="00140BE9"/>
    <w:rsid w:val="00140E44"/>
    <w:rsid w:val="001417A3"/>
    <w:rsid w:val="00142141"/>
    <w:rsid w:val="001421E1"/>
    <w:rsid w:val="00142F89"/>
    <w:rsid w:val="00142FF0"/>
    <w:rsid w:val="0014333A"/>
    <w:rsid w:val="001438ED"/>
    <w:rsid w:val="00143995"/>
    <w:rsid w:val="00143D93"/>
    <w:rsid w:val="00143E5A"/>
    <w:rsid w:val="00143F37"/>
    <w:rsid w:val="00144C3B"/>
    <w:rsid w:val="00144E79"/>
    <w:rsid w:val="00146423"/>
    <w:rsid w:val="0014658A"/>
    <w:rsid w:val="00146621"/>
    <w:rsid w:val="0014677D"/>
    <w:rsid w:val="0014712D"/>
    <w:rsid w:val="00147CD9"/>
    <w:rsid w:val="0015085C"/>
    <w:rsid w:val="001510BF"/>
    <w:rsid w:val="00152628"/>
    <w:rsid w:val="00154A8A"/>
    <w:rsid w:val="00154AAD"/>
    <w:rsid w:val="00154F87"/>
    <w:rsid w:val="001554A3"/>
    <w:rsid w:val="0015603F"/>
    <w:rsid w:val="00156127"/>
    <w:rsid w:val="00156FCD"/>
    <w:rsid w:val="00157A3B"/>
    <w:rsid w:val="001616B9"/>
    <w:rsid w:val="001620DE"/>
    <w:rsid w:val="001624B5"/>
    <w:rsid w:val="001624EB"/>
    <w:rsid w:val="00162A0A"/>
    <w:rsid w:val="00162B53"/>
    <w:rsid w:val="00163966"/>
    <w:rsid w:val="00164163"/>
    <w:rsid w:val="00164C95"/>
    <w:rsid w:val="00164CA0"/>
    <w:rsid w:val="00165C39"/>
    <w:rsid w:val="00165D46"/>
    <w:rsid w:val="001673F5"/>
    <w:rsid w:val="00167EB1"/>
    <w:rsid w:val="00167F8D"/>
    <w:rsid w:val="001701C0"/>
    <w:rsid w:val="0017047A"/>
    <w:rsid w:val="001705A1"/>
    <w:rsid w:val="00170665"/>
    <w:rsid w:val="00170CE8"/>
    <w:rsid w:val="00170EB2"/>
    <w:rsid w:val="001716D7"/>
    <w:rsid w:val="00171962"/>
    <w:rsid w:val="001725D0"/>
    <w:rsid w:val="001727F1"/>
    <w:rsid w:val="00172BC9"/>
    <w:rsid w:val="001733B0"/>
    <w:rsid w:val="001743A7"/>
    <w:rsid w:val="001745CB"/>
    <w:rsid w:val="0017462A"/>
    <w:rsid w:val="00174FBB"/>
    <w:rsid w:val="001752CA"/>
    <w:rsid w:val="00175317"/>
    <w:rsid w:val="001754E7"/>
    <w:rsid w:val="001756C3"/>
    <w:rsid w:val="001757B7"/>
    <w:rsid w:val="00176F2E"/>
    <w:rsid w:val="00177151"/>
    <w:rsid w:val="00180086"/>
    <w:rsid w:val="0018040A"/>
    <w:rsid w:val="001806AB"/>
    <w:rsid w:val="00180C54"/>
    <w:rsid w:val="00181A00"/>
    <w:rsid w:val="0018389E"/>
    <w:rsid w:val="00184DB2"/>
    <w:rsid w:val="00185FED"/>
    <w:rsid w:val="00186899"/>
    <w:rsid w:val="00186CB7"/>
    <w:rsid w:val="00186D4F"/>
    <w:rsid w:val="00187B2C"/>
    <w:rsid w:val="001905C9"/>
    <w:rsid w:val="00191F76"/>
    <w:rsid w:val="00191F90"/>
    <w:rsid w:val="0019206C"/>
    <w:rsid w:val="001922D2"/>
    <w:rsid w:val="0019438C"/>
    <w:rsid w:val="001945E9"/>
    <w:rsid w:val="00194A1F"/>
    <w:rsid w:val="00194A3C"/>
    <w:rsid w:val="00194D40"/>
    <w:rsid w:val="00194FA0"/>
    <w:rsid w:val="0019595F"/>
    <w:rsid w:val="001959FF"/>
    <w:rsid w:val="00195A66"/>
    <w:rsid w:val="0019617E"/>
    <w:rsid w:val="001961FF"/>
    <w:rsid w:val="00197057"/>
    <w:rsid w:val="00197984"/>
    <w:rsid w:val="00197B47"/>
    <w:rsid w:val="001A017C"/>
    <w:rsid w:val="001A01C1"/>
    <w:rsid w:val="001A049D"/>
    <w:rsid w:val="001A0F5A"/>
    <w:rsid w:val="001A197D"/>
    <w:rsid w:val="001A1B69"/>
    <w:rsid w:val="001A2645"/>
    <w:rsid w:val="001A2BF4"/>
    <w:rsid w:val="001A3873"/>
    <w:rsid w:val="001A3C44"/>
    <w:rsid w:val="001A4B84"/>
    <w:rsid w:val="001A509E"/>
    <w:rsid w:val="001A6292"/>
    <w:rsid w:val="001A62EA"/>
    <w:rsid w:val="001A6C90"/>
    <w:rsid w:val="001A6CF1"/>
    <w:rsid w:val="001A70C9"/>
    <w:rsid w:val="001A7199"/>
    <w:rsid w:val="001B088B"/>
    <w:rsid w:val="001B0BFA"/>
    <w:rsid w:val="001B0ED3"/>
    <w:rsid w:val="001B0F20"/>
    <w:rsid w:val="001B0FFC"/>
    <w:rsid w:val="001B12AA"/>
    <w:rsid w:val="001B190E"/>
    <w:rsid w:val="001B259B"/>
    <w:rsid w:val="001B2A05"/>
    <w:rsid w:val="001B2C43"/>
    <w:rsid w:val="001B41D8"/>
    <w:rsid w:val="001B5A30"/>
    <w:rsid w:val="001B675F"/>
    <w:rsid w:val="001B6C9D"/>
    <w:rsid w:val="001B6E55"/>
    <w:rsid w:val="001B6FE5"/>
    <w:rsid w:val="001B70A7"/>
    <w:rsid w:val="001B76D8"/>
    <w:rsid w:val="001C075C"/>
    <w:rsid w:val="001C07A8"/>
    <w:rsid w:val="001C07B3"/>
    <w:rsid w:val="001C1379"/>
    <w:rsid w:val="001C143B"/>
    <w:rsid w:val="001C1463"/>
    <w:rsid w:val="001C1A94"/>
    <w:rsid w:val="001C2698"/>
    <w:rsid w:val="001C2ACF"/>
    <w:rsid w:val="001C3B96"/>
    <w:rsid w:val="001C3F59"/>
    <w:rsid w:val="001C4FF4"/>
    <w:rsid w:val="001C5187"/>
    <w:rsid w:val="001C541A"/>
    <w:rsid w:val="001C5822"/>
    <w:rsid w:val="001C6480"/>
    <w:rsid w:val="001C6A15"/>
    <w:rsid w:val="001C6C10"/>
    <w:rsid w:val="001D0A9C"/>
    <w:rsid w:val="001D1652"/>
    <w:rsid w:val="001D1DE6"/>
    <w:rsid w:val="001D20F9"/>
    <w:rsid w:val="001D22C3"/>
    <w:rsid w:val="001D2752"/>
    <w:rsid w:val="001D2E9C"/>
    <w:rsid w:val="001D301B"/>
    <w:rsid w:val="001D3F31"/>
    <w:rsid w:val="001D4852"/>
    <w:rsid w:val="001D4D43"/>
    <w:rsid w:val="001D4FAC"/>
    <w:rsid w:val="001D5814"/>
    <w:rsid w:val="001D66CA"/>
    <w:rsid w:val="001D6ACF"/>
    <w:rsid w:val="001D7400"/>
    <w:rsid w:val="001D7449"/>
    <w:rsid w:val="001E04E4"/>
    <w:rsid w:val="001E0AAD"/>
    <w:rsid w:val="001E0B6B"/>
    <w:rsid w:val="001E0E62"/>
    <w:rsid w:val="001E170F"/>
    <w:rsid w:val="001E590D"/>
    <w:rsid w:val="001E6A28"/>
    <w:rsid w:val="001E739C"/>
    <w:rsid w:val="001F105D"/>
    <w:rsid w:val="001F130B"/>
    <w:rsid w:val="001F1A0C"/>
    <w:rsid w:val="001F1C54"/>
    <w:rsid w:val="001F2C0C"/>
    <w:rsid w:val="001F3B28"/>
    <w:rsid w:val="001F4232"/>
    <w:rsid w:val="001F481F"/>
    <w:rsid w:val="001F53F2"/>
    <w:rsid w:val="001F55A8"/>
    <w:rsid w:val="001F5F9C"/>
    <w:rsid w:val="001F637C"/>
    <w:rsid w:val="001F6AF5"/>
    <w:rsid w:val="001F6DF7"/>
    <w:rsid w:val="001F6E84"/>
    <w:rsid w:val="001F6EBA"/>
    <w:rsid w:val="001F7224"/>
    <w:rsid w:val="001F72FE"/>
    <w:rsid w:val="001F7AF5"/>
    <w:rsid w:val="00200763"/>
    <w:rsid w:val="0020184C"/>
    <w:rsid w:val="00203B38"/>
    <w:rsid w:val="002049CE"/>
    <w:rsid w:val="00204F84"/>
    <w:rsid w:val="00205257"/>
    <w:rsid w:val="00205C99"/>
    <w:rsid w:val="00206027"/>
    <w:rsid w:val="002070DD"/>
    <w:rsid w:val="00207225"/>
    <w:rsid w:val="00207519"/>
    <w:rsid w:val="00207655"/>
    <w:rsid w:val="00207D73"/>
    <w:rsid w:val="002103B0"/>
    <w:rsid w:val="00210F89"/>
    <w:rsid w:val="00211538"/>
    <w:rsid w:val="002115D8"/>
    <w:rsid w:val="0021183A"/>
    <w:rsid w:val="002122F1"/>
    <w:rsid w:val="00212350"/>
    <w:rsid w:val="00212DF1"/>
    <w:rsid w:val="0021336D"/>
    <w:rsid w:val="00213F6C"/>
    <w:rsid w:val="0021439F"/>
    <w:rsid w:val="00214509"/>
    <w:rsid w:val="0021464F"/>
    <w:rsid w:val="00214B12"/>
    <w:rsid w:val="0021543B"/>
    <w:rsid w:val="00215C69"/>
    <w:rsid w:val="002165FD"/>
    <w:rsid w:val="00216714"/>
    <w:rsid w:val="00216CA0"/>
    <w:rsid w:val="00216CD0"/>
    <w:rsid w:val="00216CD5"/>
    <w:rsid w:val="002177CF"/>
    <w:rsid w:val="00217C92"/>
    <w:rsid w:val="00217D2F"/>
    <w:rsid w:val="0022000B"/>
    <w:rsid w:val="0022052E"/>
    <w:rsid w:val="00220AC2"/>
    <w:rsid w:val="00220C3A"/>
    <w:rsid w:val="00221552"/>
    <w:rsid w:val="00221BD8"/>
    <w:rsid w:val="002220E0"/>
    <w:rsid w:val="00222981"/>
    <w:rsid w:val="00222AA4"/>
    <w:rsid w:val="002234AD"/>
    <w:rsid w:val="0022354F"/>
    <w:rsid w:val="00223956"/>
    <w:rsid w:val="00224827"/>
    <w:rsid w:val="00224D77"/>
    <w:rsid w:val="00225F33"/>
    <w:rsid w:val="002266AE"/>
    <w:rsid w:val="0022694D"/>
    <w:rsid w:val="002269AF"/>
    <w:rsid w:val="0022749E"/>
    <w:rsid w:val="0022799C"/>
    <w:rsid w:val="00227A0C"/>
    <w:rsid w:val="00227ACA"/>
    <w:rsid w:val="00227BBD"/>
    <w:rsid w:val="00227BC5"/>
    <w:rsid w:val="00230B02"/>
    <w:rsid w:val="00231759"/>
    <w:rsid w:val="00231C8F"/>
    <w:rsid w:val="00232C45"/>
    <w:rsid w:val="002338D3"/>
    <w:rsid w:val="00233EE8"/>
    <w:rsid w:val="002345FE"/>
    <w:rsid w:val="00235472"/>
    <w:rsid w:val="00235DD3"/>
    <w:rsid w:val="00236A34"/>
    <w:rsid w:val="00236D53"/>
    <w:rsid w:val="00240026"/>
    <w:rsid w:val="002400FB"/>
    <w:rsid w:val="002402CA"/>
    <w:rsid w:val="00240B30"/>
    <w:rsid w:val="0024109C"/>
    <w:rsid w:val="00241278"/>
    <w:rsid w:val="0024133D"/>
    <w:rsid w:val="00241558"/>
    <w:rsid w:val="00241C6C"/>
    <w:rsid w:val="00241F32"/>
    <w:rsid w:val="002423AD"/>
    <w:rsid w:val="00242C3A"/>
    <w:rsid w:val="00243301"/>
    <w:rsid w:val="00243348"/>
    <w:rsid w:val="002449CF"/>
    <w:rsid w:val="00244BB1"/>
    <w:rsid w:val="00244E0D"/>
    <w:rsid w:val="00244FCB"/>
    <w:rsid w:val="002453C9"/>
    <w:rsid w:val="0024547A"/>
    <w:rsid w:val="00245720"/>
    <w:rsid w:val="00245861"/>
    <w:rsid w:val="00245C73"/>
    <w:rsid w:val="00250015"/>
    <w:rsid w:val="00250129"/>
    <w:rsid w:val="00251CBB"/>
    <w:rsid w:val="002520E1"/>
    <w:rsid w:val="002522EE"/>
    <w:rsid w:val="00252986"/>
    <w:rsid w:val="0025390C"/>
    <w:rsid w:val="00253EA5"/>
    <w:rsid w:val="0025444E"/>
    <w:rsid w:val="00255449"/>
    <w:rsid w:val="0025572F"/>
    <w:rsid w:val="00255F3D"/>
    <w:rsid w:val="002560C0"/>
    <w:rsid w:val="002562BB"/>
    <w:rsid w:val="00256918"/>
    <w:rsid w:val="00256EC5"/>
    <w:rsid w:val="00257E07"/>
    <w:rsid w:val="00257E22"/>
    <w:rsid w:val="00260500"/>
    <w:rsid w:val="002607DC"/>
    <w:rsid w:val="0026098D"/>
    <w:rsid w:val="00260E58"/>
    <w:rsid w:val="00261398"/>
    <w:rsid w:val="0026150A"/>
    <w:rsid w:val="002618EE"/>
    <w:rsid w:val="00261EE7"/>
    <w:rsid w:val="00262341"/>
    <w:rsid w:val="002636A0"/>
    <w:rsid w:val="00264290"/>
    <w:rsid w:val="002644F2"/>
    <w:rsid w:val="00266110"/>
    <w:rsid w:val="002661E3"/>
    <w:rsid w:val="00266299"/>
    <w:rsid w:val="00266649"/>
    <w:rsid w:val="002668F5"/>
    <w:rsid w:val="00266F13"/>
    <w:rsid w:val="00266F62"/>
    <w:rsid w:val="002671DD"/>
    <w:rsid w:val="002673C4"/>
    <w:rsid w:val="00270A83"/>
    <w:rsid w:val="002716DC"/>
    <w:rsid w:val="00272425"/>
    <w:rsid w:val="00272A98"/>
    <w:rsid w:val="00273124"/>
    <w:rsid w:val="002731C9"/>
    <w:rsid w:val="00274B33"/>
    <w:rsid w:val="00274BF5"/>
    <w:rsid w:val="00274EDF"/>
    <w:rsid w:val="002754A0"/>
    <w:rsid w:val="00276036"/>
    <w:rsid w:val="002762B0"/>
    <w:rsid w:val="002766BE"/>
    <w:rsid w:val="00276AE3"/>
    <w:rsid w:val="00276B55"/>
    <w:rsid w:val="00276DB9"/>
    <w:rsid w:val="002770E6"/>
    <w:rsid w:val="0027791A"/>
    <w:rsid w:val="002801EF"/>
    <w:rsid w:val="00280CEA"/>
    <w:rsid w:val="00281CF7"/>
    <w:rsid w:val="00281F92"/>
    <w:rsid w:val="002821D5"/>
    <w:rsid w:val="002821E8"/>
    <w:rsid w:val="00282428"/>
    <w:rsid w:val="00282CE4"/>
    <w:rsid w:val="00283A5B"/>
    <w:rsid w:val="002848E0"/>
    <w:rsid w:val="00284CF8"/>
    <w:rsid w:val="00285069"/>
    <w:rsid w:val="00285B4B"/>
    <w:rsid w:val="00285E0A"/>
    <w:rsid w:val="00285F30"/>
    <w:rsid w:val="00286688"/>
    <w:rsid w:val="0028701F"/>
    <w:rsid w:val="00287258"/>
    <w:rsid w:val="0028735B"/>
    <w:rsid w:val="00287E89"/>
    <w:rsid w:val="0029032B"/>
    <w:rsid w:val="002914BC"/>
    <w:rsid w:val="00291D4E"/>
    <w:rsid w:val="002923D9"/>
    <w:rsid w:val="00292876"/>
    <w:rsid w:val="002928E7"/>
    <w:rsid w:val="002930E8"/>
    <w:rsid w:val="00293A21"/>
    <w:rsid w:val="002954C1"/>
    <w:rsid w:val="00295AB2"/>
    <w:rsid w:val="002960CC"/>
    <w:rsid w:val="00296433"/>
    <w:rsid w:val="0029650F"/>
    <w:rsid w:val="00297960"/>
    <w:rsid w:val="00297E4A"/>
    <w:rsid w:val="002A03F4"/>
    <w:rsid w:val="002A04B1"/>
    <w:rsid w:val="002A05B9"/>
    <w:rsid w:val="002A1736"/>
    <w:rsid w:val="002A1BE4"/>
    <w:rsid w:val="002A1C5E"/>
    <w:rsid w:val="002A2199"/>
    <w:rsid w:val="002A291F"/>
    <w:rsid w:val="002A2DA6"/>
    <w:rsid w:val="002A398F"/>
    <w:rsid w:val="002A39DA"/>
    <w:rsid w:val="002A3F47"/>
    <w:rsid w:val="002A4470"/>
    <w:rsid w:val="002A4F4E"/>
    <w:rsid w:val="002A6402"/>
    <w:rsid w:val="002A7493"/>
    <w:rsid w:val="002A771C"/>
    <w:rsid w:val="002A7FF7"/>
    <w:rsid w:val="002B0A7E"/>
    <w:rsid w:val="002B16CE"/>
    <w:rsid w:val="002B16D9"/>
    <w:rsid w:val="002B1D39"/>
    <w:rsid w:val="002B2AA4"/>
    <w:rsid w:val="002B2F20"/>
    <w:rsid w:val="002B374C"/>
    <w:rsid w:val="002B505A"/>
    <w:rsid w:val="002B51DB"/>
    <w:rsid w:val="002B696B"/>
    <w:rsid w:val="002B6C0A"/>
    <w:rsid w:val="002B6C73"/>
    <w:rsid w:val="002B74F3"/>
    <w:rsid w:val="002B7638"/>
    <w:rsid w:val="002C0D18"/>
    <w:rsid w:val="002C103B"/>
    <w:rsid w:val="002C1F00"/>
    <w:rsid w:val="002C2026"/>
    <w:rsid w:val="002C2672"/>
    <w:rsid w:val="002C3507"/>
    <w:rsid w:val="002C3845"/>
    <w:rsid w:val="002C4884"/>
    <w:rsid w:val="002C4F4F"/>
    <w:rsid w:val="002C534D"/>
    <w:rsid w:val="002C6104"/>
    <w:rsid w:val="002C6D4A"/>
    <w:rsid w:val="002C6ED9"/>
    <w:rsid w:val="002C7143"/>
    <w:rsid w:val="002C73CF"/>
    <w:rsid w:val="002C7A33"/>
    <w:rsid w:val="002D08EE"/>
    <w:rsid w:val="002D1E69"/>
    <w:rsid w:val="002D2121"/>
    <w:rsid w:val="002D213F"/>
    <w:rsid w:val="002D2BE7"/>
    <w:rsid w:val="002D31C1"/>
    <w:rsid w:val="002D3352"/>
    <w:rsid w:val="002D33A9"/>
    <w:rsid w:val="002D45EF"/>
    <w:rsid w:val="002D46E5"/>
    <w:rsid w:val="002D4A9C"/>
    <w:rsid w:val="002D4C58"/>
    <w:rsid w:val="002D5ED4"/>
    <w:rsid w:val="002D611B"/>
    <w:rsid w:val="002D6F62"/>
    <w:rsid w:val="002D7017"/>
    <w:rsid w:val="002D72A6"/>
    <w:rsid w:val="002D7C67"/>
    <w:rsid w:val="002E053A"/>
    <w:rsid w:val="002E114F"/>
    <w:rsid w:val="002E18FA"/>
    <w:rsid w:val="002E1F12"/>
    <w:rsid w:val="002E23C0"/>
    <w:rsid w:val="002E2947"/>
    <w:rsid w:val="002E3161"/>
    <w:rsid w:val="002E3450"/>
    <w:rsid w:val="002E38F4"/>
    <w:rsid w:val="002E3EDE"/>
    <w:rsid w:val="002E4006"/>
    <w:rsid w:val="002E4792"/>
    <w:rsid w:val="002E506B"/>
    <w:rsid w:val="002E5AF0"/>
    <w:rsid w:val="002E6094"/>
    <w:rsid w:val="002E63C7"/>
    <w:rsid w:val="002E6BDF"/>
    <w:rsid w:val="002E6F9E"/>
    <w:rsid w:val="002F01DD"/>
    <w:rsid w:val="002F044D"/>
    <w:rsid w:val="002F09BC"/>
    <w:rsid w:val="002F0DC7"/>
    <w:rsid w:val="002F24A1"/>
    <w:rsid w:val="002F3916"/>
    <w:rsid w:val="002F434D"/>
    <w:rsid w:val="002F55C3"/>
    <w:rsid w:val="002F5994"/>
    <w:rsid w:val="002F60A5"/>
    <w:rsid w:val="002F63B3"/>
    <w:rsid w:val="002F6A07"/>
    <w:rsid w:val="003001AC"/>
    <w:rsid w:val="00300877"/>
    <w:rsid w:val="00300CE5"/>
    <w:rsid w:val="003012F9"/>
    <w:rsid w:val="00301373"/>
    <w:rsid w:val="003019EF"/>
    <w:rsid w:val="00301A53"/>
    <w:rsid w:val="00302703"/>
    <w:rsid w:val="00303491"/>
    <w:rsid w:val="00303A1D"/>
    <w:rsid w:val="003045F2"/>
    <w:rsid w:val="00304BB4"/>
    <w:rsid w:val="0030566D"/>
    <w:rsid w:val="003056EC"/>
    <w:rsid w:val="00306253"/>
    <w:rsid w:val="00306725"/>
    <w:rsid w:val="00306C09"/>
    <w:rsid w:val="003078A7"/>
    <w:rsid w:val="003079D8"/>
    <w:rsid w:val="0031007E"/>
    <w:rsid w:val="003100EF"/>
    <w:rsid w:val="003106A7"/>
    <w:rsid w:val="003111C8"/>
    <w:rsid w:val="00311BE9"/>
    <w:rsid w:val="003120CD"/>
    <w:rsid w:val="00312CB5"/>
    <w:rsid w:val="00313035"/>
    <w:rsid w:val="003134DF"/>
    <w:rsid w:val="00313D1B"/>
    <w:rsid w:val="00314465"/>
    <w:rsid w:val="003149A7"/>
    <w:rsid w:val="00315506"/>
    <w:rsid w:val="00316CD6"/>
    <w:rsid w:val="00316F13"/>
    <w:rsid w:val="0031766F"/>
    <w:rsid w:val="003179ED"/>
    <w:rsid w:val="00317A15"/>
    <w:rsid w:val="0032010D"/>
    <w:rsid w:val="003205A0"/>
    <w:rsid w:val="00320C2C"/>
    <w:rsid w:val="00321E45"/>
    <w:rsid w:val="00322096"/>
    <w:rsid w:val="003223DF"/>
    <w:rsid w:val="003226A5"/>
    <w:rsid w:val="00323610"/>
    <w:rsid w:val="0032463F"/>
    <w:rsid w:val="00324739"/>
    <w:rsid w:val="00324CFF"/>
    <w:rsid w:val="003253D0"/>
    <w:rsid w:val="00325564"/>
    <w:rsid w:val="00325CED"/>
    <w:rsid w:val="00326E22"/>
    <w:rsid w:val="00326F75"/>
    <w:rsid w:val="00330966"/>
    <w:rsid w:val="00330BE1"/>
    <w:rsid w:val="00330EA5"/>
    <w:rsid w:val="00331B7F"/>
    <w:rsid w:val="0033204E"/>
    <w:rsid w:val="0033220C"/>
    <w:rsid w:val="0033231B"/>
    <w:rsid w:val="00332CA7"/>
    <w:rsid w:val="00332CFD"/>
    <w:rsid w:val="0033313B"/>
    <w:rsid w:val="0033390B"/>
    <w:rsid w:val="00333BF6"/>
    <w:rsid w:val="0033411B"/>
    <w:rsid w:val="003344DB"/>
    <w:rsid w:val="00334A82"/>
    <w:rsid w:val="003357DA"/>
    <w:rsid w:val="00335F36"/>
    <w:rsid w:val="00336577"/>
    <w:rsid w:val="003366B7"/>
    <w:rsid w:val="00336C7B"/>
    <w:rsid w:val="00336FC7"/>
    <w:rsid w:val="00337143"/>
    <w:rsid w:val="003400CD"/>
    <w:rsid w:val="00341DA3"/>
    <w:rsid w:val="00342FC8"/>
    <w:rsid w:val="00344783"/>
    <w:rsid w:val="00344C4E"/>
    <w:rsid w:val="003458AF"/>
    <w:rsid w:val="00346085"/>
    <w:rsid w:val="00346AB5"/>
    <w:rsid w:val="00346CB0"/>
    <w:rsid w:val="003470A7"/>
    <w:rsid w:val="00350173"/>
    <w:rsid w:val="00350608"/>
    <w:rsid w:val="00350A84"/>
    <w:rsid w:val="00351445"/>
    <w:rsid w:val="003520AD"/>
    <w:rsid w:val="00352456"/>
    <w:rsid w:val="00352966"/>
    <w:rsid w:val="00352B0C"/>
    <w:rsid w:val="00352D67"/>
    <w:rsid w:val="003539AF"/>
    <w:rsid w:val="00353B27"/>
    <w:rsid w:val="00355A9A"/>
    <w:rsid w:val="00355BFD"/>
    <w:rsid w:val="00355DA1"/>
    <w:rsid w:val="003567F8"/>
    <w:rsid w:val="00356929"/>
    <w:rsid w:val="00357125"/>
    <w:rsid w:val="003574F8"/>
    <w:rsid w:val="003575C1"/>
    <w:rsid w:val="00360103"/>
    <w:rsid w:val="003608FE"/>
    <w:rsid w:val="00360B3C"/>
    <w:rsid w:val="0036179A"/>
    <w:rsid w:val="00361824"/>
    <w:rsid w:val="003619B4"/>
    <w:rsid w:val="00362984"/>
    <w:rsid w:val="003638B7"/>
    <w:rsid w:val="00363DA5"/>
    <w:rsid w:val="00363EE1"/>
    <w:rsid w:val="00364247"/>
    <w:rsid w:val="00364307"/>
    <w:rsid w:val="0036443D"/>
    <w:rsid w:val="0036461E"/>
    <w:rsid w:val="00364B09"/>
    <w:rsid w:val="00364B6E"/>
    <w:rsid w:val="00364E58"/>
    <w:rsid w:val="003652F8"/>
    <w:rsid w:val="00365C52"/>
    <w:rsid w:val="00365F1E"/>
    <w:rsid w:val="003661BE"/>
    <w:rsid w:val="00366518"/>
    <w:rsid w:val="00366782"/>
    <w:rsid w:val="003674A4"/>
    <w:rsid w:val="003678FF"/>
    <w:rsid w:val="003706A9"/>
    <w:rsid w:val="00370D17"/>
    <w:rsid w:val="0037110D"/>
    <w:rsid w:val="00371D30"/>
    <w:rsid w:val="003726C3"/>
    <w:rsid w:val="00372913"/>
    <w:rsid w:val="00372A7D"/>
    <w:rsid w:val="00373298"/>
    <w:rsid w:val="003736BE"/>
    <w:rsid w:val="0037415F"/>
    <w:rsid w:val="00374402"/>
    <w:rsid w:val="003746F9"/>
    <w:rsid w:val="00374CA8"/>
    <w:rsid w:val="00374EEC"/>
    <w:rsid w:val="0037529C"/>
    <w:rsid w:val="00375AAD"/>
    <w:rsid w:val="003767ED"/>
    <w:rsid w:val="00376CA8"/>
    <w:rsid w:val="003804BF"/>
    <w:rsid w:val="00380728"/>
    <w:rsid w:val="003809E7"/>
    <w:rsid w:val="00380B91"/>
    <w:rsid w:val="00380EE3"/>
    <w:rsid w:val="00380F2C"/>
    <w:rsid w:val="00381B7A"/>
    <w:rsid w:val="00381CBA"/>
    <w:rsid w:val="00383214"/>
    <w:rsid w:val="003838CF"/>
    <w:rsid w:val="00384327"/>
    <w:rsid w:val="00384851"/>
    <w:rsid w:val="00384A0A"/>
    <w:rsid w:val="003859FA"/>
    <w:rsid w:val="00385C1A"/>
    <w:rsid w:val="00386790"/>
    <w:rsid w:val="00387FD1"/>
    <w:rsid w:val="00390FA0"/>
    <w:rsid w:val="003913E5"/>
    <w:rsid w:val="003917E0"/>
    <w:rsid w:val="003919B8"/>
    <w:rsid w:val="003925D5"/>
    <w:rsid w:val="00392B8A"/>
    <w:rsid w:val="00393046"/>
    <w:rsid w:val="003939B2"/>
    <w:rsid w:val="00393A59"/>
    <w:rsid w:val="00394026"/>
    <w:rsid w:val="00394073"/>
    <w:rsid w:val="003952A5"/>
    <w:rsid w:val="0039555F"/>
    <w:rsid w:val="00395FDB"/>
    <w:rsid w:val="00396047"/>
    <w:rsid w:val="00396391"/>
    <w:rsid w:val="00396408"/>
    <w:rsid w:val="00396532"/>
    <w:rsid w:val="0039682F"/>
    <w:rsid w:val="00397774"/>
    <w:rsid w:val="003A00A0"/>
    <w:rsid w:val="003A0C17"/>
    <w:rsid w:val="003A0CAA"/>
    <w:rsid w:val="003A1005"/>
    <w:rsid w:val="003A18EA"/>
    <w:rsid w:val="003A2E02"/>
    <w:rsid w:val="003A341D"/>
    <w:rsid w:val="003A3657"/>
    <w:rsid w:val="003A3DAE"/>
    <w:rsid w:val="003A41EF"/>
    <w:rsid w:val="003A4CFB"/>
    <w:rsid w:val="003A5C8E"/>
    <w:rsid w:val="003A6303"/>
    <w:rsid w:val="003A66CE"/>
    <w:rsid w:val="003A6954"/>
    <w:rsid w:val="003A7663"/>
    <w:rsid w:val="003A7BD8"/>
    <w:rsid w:val="003A7E6C"/>
    <w:rsid w:val="003B01D1"/>
    <w:rsid w:val="003B0C0E"/>
    <w:rsid w:val="003B0CDE"/>
    <w:rsid w:val="003B0D08"/>
    <w:rsid w:val="003B1344"/>
    <w:rsid w:val="003B1816"/>
    <w:rsid w:val="003B245E"/>
    <w:rsid w:val="003B3538"/>
    <w:rsid w:val="003B45B8"/>
    <w:rsid w:val="003B559E"/>
    <w:rsid w:val="003B5897"/>
    <w:rsid w:val="003B59FC"/>
    <w:rsid w:val="003B6452"/>
    <w:rsid w:val="003B649E"/>
    <w:rsid w:val="003B67E0"/>
    <w:rsid w:val="003B685C"/>
    <w:rsid w:val="003B695A"/>
    <w:rsid w:val="003C0964"/>
    <w:rsid w:val="003C09B8"/>
    <w:rsid w:val="003C11FC"/>
    <w:rsid w:val="003C1381"/>
    <w:rsid w:val="003C13C9"/>
    <w:rsid w:val="003C2C6C"/>
    <w:rsid w:val="003C2E38"/>
    <w:rsid w:val="003C3477"/>
    <w:rsid w:val="003C3FC0"/>
    <w:rsid w:val="003C40F4"/>
    <w:rsid w:val="003C47EA"/>
    <w:rsid w:val="003C556D"/>
    <w:rsid w:val="003C59CB"/>
    <w:rsid w:val="003C629C"/>
    <w:rsid w:val="003C6726"/>
    <w:rsid w:val="003C6F14"/>
    <w:rsid w:val="003C76C5"/>
    <w:rsid w:val="003C7967"/>
    <w:rsid w:val="003C7B87"/>
    <w:rsid w:val="003D003D"/>
    <w:rsid w:val="003D0B5E"/>
    <w:rsid w:val="003D0F7C"/>
    <w:rsid w:val="003D11B0"/>
    <w:rsid w:val="003D11FF"/>
    <w:rsid w:val="003D14C6"/>
    <w:rsid w:val="003D2E74"/>
    <w:rsid w:val="003D3306"/>
    <w:rsid w:val="003D37E3"/>
    <w:rsid w:val="003D3A21"/>
    <w:rsid w:val="003D3F1F"/>
    <w:rsid w:val="003D40E5"/>
    <w:rsid w:val="003D4601"/>
    <w:rsid w:val="003D527B"/>
    <w:rsid w:val="003D568D"/>
    <w:rsid w:val="003D5BA8"/>
    <w:rsid w:val="003D6C75"/>
    <w:rsid w:val="003D7031"/>
    <w:rsid w:val="003D780E"/>
    <w:rsid w:val="003D7927"/>
    <w:rsid w:val="003E053B"/>
    <w:rsid w:val="003E060B"/>
    <w:rsid w:val="003E14D8"/>
    <w:rsid w:val="003E23A2"/>
    <w:rsid w:val="003E3213"/>
    <w:rsid w:val="003E4450"/>
    <w:rsid w:val="003E47F5"/>
    <w:rsid w:val="003E4EF8"/>
    <w:rsid w:val="003E5A16"/>
    <w:rsid w:val="003E6612"/>
    <w:rsid w:val="003E68CE"/>
    <w:rsid w:val="003E7194"/>
    <w:rsid w:val="003E7AAA"/>
    <w:rsid w:val="003E7E7B"/>
    <w:rsid w:val="003F13E3"/>
    <w:rsid w:val="003F174B"/>
    <w:rsid w:val="003F180E"/>
    <w:rsid w:val="003F1CB6"/>
    <w:rsid w:val="003F2B62"/>
    <w:rsid w:val="003F2E4D"/>
    <w:rsid w:val="003F2EDF"/>
    <w:rsid w:val="003F35AC"/>
    <w:rsid w:val="003F4296"/>
    <w:rsid w:val="003F43C2"/>
    <w:rsid w:val="003F5017"/>
    <w:rsid w:val="003F5158"/>
    <w:rsid w:val="003F51D2"/>
    <w:rsid w:val="003F593C"/>
    <w:rsid w:val="003F6053"/>
    <w:rsid w:val="003F6DE6"/>
    <w:rsid w:val="003F7AC2"/>
    <w:rsid w:val="00400CD2"/>
    <w:rsid w:val="00401C18"/>
    <w:rsid w:val="00401DEB"/>
    <w:rsid w:val="00401FB5"/>
    <w:rsid w:val="00402613"/>
    <w:rsid w:val="00402E68"/>
    <w:rsid w:val="00403BE6"/>
    <w:rsid w:val="00403D42"/>
    <w:rsid w:val="0040437B"/>
    <w:rsid w:val="004065AF"/>
    <w:rsid w:val="00406981"/>
    <w:rsid w:val="00406B18"/>
    <w:rsid w:val="00407DAC"/>
    <w:rsid w:val="00410A5A"/>
    <w:rsid w:val="00410DA7"/>
    <w:rsid w:val="00410EE0"/>
    <w:rsid w:val="004114CD"/>
    <w:rsid w:val="00411702"/>
    <w:rsid w:val="0041170F"/>
    <w:rsid w:val="00411873"/>
    <w:rsid w:val="004120CB"/>
    <w:rsid w:val="00412275"/>
    <w:rsid w:val="00412B0C"/>
    <w:rsid w:val="00412FB8"/>
    <w:rsid w:val="00412FC3"/>
    <w:rsid w:val="0041359B"/>
    <w:rsid w:val="00413658"/>
    <w:rsid w:val="004141C8"/>
    <w:rsid w:val="00414872"/>
    <w:rsid w:val="0041500C"/>
    <w:rsid w:val="0041596B"/>
    <w:rsid w:val="00415F62"/>
    <w:rsid w:val="0041632C"/>
    <w:rsid w:val="00416C22"/>
    <w:rsid w:val="004172EE"/>
    <w:rsid w:val="00417479"/>
    <w:rsid w:val="004174E5"/>
    <w:rsid w:val="0041785F"/>
    <w:rsid w:val="0042001F"/>
    <w:rsid w:val="004200EA"/>
    <w:rsid w:val="004204AE"/>
    <w:rsid w:val="00420932"/>
    <w:rsid w:val="0042101D"/>
    <w:rsid w:val="00421577"/>
    <w:rsid w:val="0042165A"/>
    <w:rsid w:val="004217AF"/>
    <w:rsid w:val="00421C1B"/>
    <w:rsid w:val="00422129"/>
    <w:rsid w:val="00422175"/>
    <w:rsid w:val="004222B3"/>
    <w:rsid w:val="004228E4"/>
    <w:rsid w:val="00422B63"/>
    <w:rsid w:val="00422D7B"/>
    <w:rsid w:val="0042325C"/>
    <w:rsid w:val="00423282"/>
    <w:rsid w:val="00423531"/>
    <w:rsid w:val="00423B29"/>
    <w:rsid w:val="00424D0A"/>
    <w:rsid w:val="00425506"/>
    <w:rsid w:val="004258E9"/>
    <w:rsid w:val="00425B80"/>
    <w:rsid w:val="00426095"/>
    <w:rsid w:val="004265EA"/>
    <w:rsid w:val="004266F1"/>
    <w:rsid w:val="004271BD"/>
    <w:rsid w:val="0043004C"/>
    <w:rsid w:val="00430316"/>
    <w:rsid w:val="0043063F"/>
    <w:rsid w:val="0043119B"/>
    <w:rsid w:val="0043209F"/>
    <w:rsid w:val="004322D1"/>
    <w:rsid w:val="004322D4"/>
    <w:rsid w:val="00432917"/>
    <w:rsid w:val="00432FD8"/>
    <w:rsid w:val="00433214"/>
    <w:rsid w:val="004332A8"/>
    <w:rsid w:val="004336EF"/>
    <w:rsid w:val="00434ABB"/>
    <w:rsid w:val="00434F4C"/>
    <w:rsid w:val="0043554E"/>
    <w:rsid w:val="004356D7"/>
    <w:rsid w:val="004357C0"/>
    <w:rsid w:val="00435B96"/>
    <w:rsid w:val="00435D7A"/>
    <w:rsid w:val="00435E5C"/>
    <w:rsid w:val="00435E63"/>
    <w:rsid w:val="00435ED8"/>
    <w:rsid w:val="0043610E"/>
    <w:rsid w:val="004379CE"/>
    <w:rsid w:val="00437CFD"/>
    <w:rsid w:val="00437DBB"/>
    <w:rsid w:val="00437E8D"/>
    <w:rsid w:val="0044072F"/>
    <w:rsid w:val="00441B11"/>
    <w:rsid w:val="00441FC5"/>
    <w:rsid w:val="004420BC"/>
    <w:rsid w:val="00443693"/>
    <w:rsid w:val="0044404C"/>
    <w:rsid w:val="004444C2"/>
    <w:rsid w:val="00444AC0"/>
    <w:rsid w:val="00445288"/>
    <w:rsid w:val="0044552C"/>
    <w:rsid w:val="0044564B"/>
    <w:rsid w:val="004468C3"/>
    <w:rsid w:val="004468E7"/>
    <w:rsid w:val="004471DC"/>
    <w:rsid w:val="004472EC"/>
    <w:rsid w:val="004473F2"/>
    <w:rsid w:val="00447777"/>
    <w:rsid w:val="00447FBF"/>
    <w:rsid w:val="00450669"/>
    <w:rsid w:val="00450761"/>
    <w:rsid w:val="0045082E"/>
    <w:rsid w:val="0045096C"/>
    <w:rsid w:val="00451182"/>
    <w:rsid w:val="00451572"/>
    <w:rsid w:val="00451CC4"/>
    <w:rsid w:val="004520BE"/>
    <w:rsid w:val="0045277A"/>
    <w:rsid w:val="00452994"/>
    <w:rsid w:val="00452AAF"/>
    <w:rsid w:val="0045356F"/>
    <w:rsid w:val="00453718"/>
    <w:rsid w:val="0045379E"/>
    <w:rsid w:val="00453CEC"/>
    <w:rsid w:val="004543E0"/>
    <w:rsid w:val="004547CB"/>
    <w:rsid w:val="004550D4"/>
    <w:rsid w:val="00455182"/>
    <w:rsid w:val="00455213"/>
    <w:rsid w:val="004558BE"/>
    <w:rsid w:val="00455B44"/>
    <w:rsid w:val="00455E84"/>
    <w:rsid w:val="00456376"/>
    <w:rsid w:val="0045748C"/>
    <w:rsid w:val="00460972"/>
    <w:rsid w:val="00460DF2"/>
    <w:rsid w:val="0046106C"/>
    <w:rsid w:val="004612E3"/>
    <w:rsid w:val="004613F6"/>
    <w:rsid w:val="00461596"/>
    <w:rsid w:val="0046169E"/>
    <w:rsid w:val="00461968"/>
    <w:rsid w:val="004620E5"/>
    <w:rsid w:val="00462D23"/>
    <w:rsid w:val="004632E5"/>
    <w:rsid w:val="00464DCB"/>
    <w:rsid w:val="00464F9E"/>
    <w:rsid w:val="004656E4"/>
    <w:rsid w:val="00466031"/>
    <w:rsid w:val="00467026"/>
    <w:rsid w:val="00467B11"/>
    <w:rsid w:val="0047047B"/>
    <w:rsid w:val="0047071D"/>
    <w:rsid w:val="00470DB7"/>
    <w:rsid w:val="00470EC7"/>
    <w:rsid w:val="00471966"/>
    <w:rsid w:val="00471A67"/>
    <w:rsid w:val="00474A66"/>
    <w:rsid w:val="00474C24"/>
    <w:rsid w:val="004751DC"/>
    <w:rsid w:val="004753A8"/>
    <w:rsid w:val="004753BA"/>
    <w:rsid w:val="00475BBB"/>
    <w:rsid w:val="00476946"/>
    <w:rsid w:val="00476A12"/>
    <w:rsid w:val="00476A5B"/>
    <w:rsid w:val="00480136"/>
    <w:rsid w:val="00480EF6"/>
    <w:rsid w:val="00481371"/>
    <w:rsid w:val="00481561"/>
    <w:rsid w:val="004817A1"/>
    <w:rsid w:val="00481A2E"/>
    <w:rsid w:val="00481CFE"/>
    <w:rsid w:val="004839C6"/>
    <w:rsid w:val="00484173"/>
    <w:rsid w:val="004846BB"/>
    <w:rsid w:val="00485436"/>
    <w:rsid w:val="00485456"/>
    <w:rsid w:val="004859A9"/>
    <w:rsid w:val="00485FD0"/>
    <w:rsid w:val="00486757"/>
    <w:rsid w:val="0048697C"/>
    <w:rsid w:val="00487F8E"/>
    <w:rsid w:val="00487FAB"/>
    <w:rsid w:val="00490F40"/>
    <w:rsid w:val="004929E0"/>
    <w:rsid w:val="0049347E"/>
    <w:rsid w:val="0049373F"/>
    <w:rsid w:val="0049381B"/>
    <w:rsid w:val="0049490D"/>
    <w:rsid w:val="00494C16"/>
    <w:rsid w:val="00495BC5"/>
    <w:rsid w:val="00495DA0"/>
    <w:rsid w:val="00495F5F"/>
    <w:rsid w:val="004963AB"/>
    <w:rsid w:val="00496FB9"/>
    <w:rsid w:val="00496FD0"/>
    <w:rsid w:val="004A0033"/>
    <w:rsid w:val="004A089A"/>
    <w:rsid w:val="004A0CB3"/>
    <w:rsid w:val="004A1569"/>
    <w:rsid w:val="004A1D18"/>
    <w:rsid w:val="004A1EDF"/>
    <w:rsid w:val="004A24CF"/>
    <w:rsid w:val="004A2AAD"/>
    <w:rsid w:val="004A3113"/>
    <w:rsid w:val="004A3664"/>
    <w:rsid w:val="004A41A1"/>
    <w:rsid w:val="004A4298"/>
    <w:rsid w:val="004A4BE5"/>
    <w:rsid w:val="004A64F4"/>
    <w:rsid w:val="004A6546"/>
    <w:rsid w:val="004A67FF"/>
    <w:rsid w:val="004A6DBF"/>
    <w:rsid w:val="004A70A0"/>
    <w:rsid w:val="004A7B9B"/>
    <w:rsid w:val="004B0B4D"/>
    <w:rsid w:val="004B0BBE"/>
    <w:rsid w:val="004B0FEA"/>
    <w:rsid w:val="004B1356"/>
    <w:rsid w:val="004B1D47"/>
    <w:rsid w:val="004B20A0"/>
    <w:rsid w:val="004B229F"/>
    <w:rsid w:val="004B2588"/>
    <w:rsid w:val="004B348F"/>
    <w:rsid w:val="004B42D7"/>
    <w:rsid w:val="004B43CB"/>
    <w:rsid w:val="004B482D"/>
    <w:rsid w:val="004B54CE"/>
    <w:rsid w:val="004B57DA"/>
    <w:rsid w:val="004B582C"/>
    <w:rsid w:val="004B5FD4"/>
    <w:rsid w:val="004B6569"/>
    <w:rsid w:val="004B699B"/>
    <w:rsid w:val="004B7A58"/>
    <w:rsid w:val="004B7A6E"/>
    <w:rsid w:val="004C06E3"/>
    <w:rsid w:val="004C0E38"/>
    <w:rsid w:val="004C144E"/>
    <w:rsid w:val="004C204C"/>
    <w:rsid w:val="004C33AB"/>
    <w:rsid w:val="004C37B0"/>
    <w:rsid w:val="004C4193"/>
    <w:rsid w:val="004C55D7"/>
    <w:rsid w:val="004C5A00"/>
    <w:rsid w:val="004C5CA0"/>
    <w:rsid w:val="004C5E50"/>
    <w:rsid w:val="004C60EE"/>
    <w:rsid w:val="004C621E"/>
    <w:rsid w:val="004C62FB"/>
    <w:rsid w:val="004C7327"/>
    <w:rsid w:val="004C74B5"/>
    <w:rsid w:val="004D0005"/>
    <w:rsid w:val="004D06A4"/>
    <w:rsid w:val="004D0D12"/>
    <w:rsid w:val="004D0DCF"/>
    <w:rsid w:val="004D1444"/>
    <w:rsid w:val="004D1DED"/>
    <w:rsid w:val="004D1E93"/>
    <w:rsid w:val="004D1F8A"/>
    <w:rsid w:val="004D20ED"/>
    <w:rsid w:val="004D2496"/>
    <w:rsid w:val="004D273B"/>
    <w:rsid w:val="004D2918"/>
    <w:rsid w:val="004D2BD9"/>
    <w:rsid w:val="004D2DFE"/>
    <w:rsid w:val="004D3355"/>
    <w:rsid w:val="004D39E8"/>
    <w:rsid w:val="004D44B4"/>
    <w:rsid w:val="004D4605"/>
    <w:rsid w:val="004D47D8"/>
    <w:rsid w:val="004D4C8D"/>
    <w:rsid w:val="004D5015"/>
    <w:rsid w:val="004D5C0B"/>
    <w:rsid w:val="004D625D"/>
    <w:rsid w:val="004D692B"/>
    <w:rsid w:val="004D7071"/>
    <w:rsid w:val="004D7354"/>
    <w:rsid w:val="004E05EB"/>
    <w:rsid w:val="004E1C54"/>
    <w:rsid w:val="004E20B4"/>
    <w:rsid w:val="004E2E11"/>
    <w:rsid w:val="004E39B7"/>
    <w:rsid w:val="004E3D40"/>
    <w:rsid w:val="004E441D"/>
    <w:rsid w:val="004E47E0"/>
    <w:rsid w:val="004E4954"/>
    <w:rsid w:val="004E4FB3"/>
    <w:rsid w:val="004E5288"/>
    <w:rsid w:val="004E5562"/>
    <w:rsid w:val="004E5C92"/>
    <w:rsid w:val="004E5F16"/>
    <w:rsid w:val="004E63CF"/>
    <w:rsid w:val="004E6D45"/>
    <w:rsid w:val="004F0503"/>
    <w:rsid w:val="004F070F"/>
    <w:rsid w:val="004F0E42"/>
    <w:rsid w:val="004F1420"/>
    <w:rsid w:val="004F198C"/>
    <w:rsid w:val="004F28D1"/>
    <w:rsid w:val="004F3283"/>
    <w:rsid w:val="004F428F"/>
    <w:rsid w:val="004F4BC4"/>
    <w:rsid w:val="004F5448"/>
    <w:rsid w:val="004F54EB"/>
    <w:rsid w:val="004F554C"/>
    <w:rsid w:val="004F5A15"/>
    <w:rsid w:val="004F6945"/>
    <w:rsid w:val="004F7064"/>
    <w:rsid w:val="004F74A0"/>
    <w:rsid w:val="004F756B"/>
    <w:rsid w:val="0050028A"/>
    <w:rsid w:val="005002F4"/>
    <w:rsid w:val="00501D0B"/>
    <w:rsid w:val="00501DE8"/>
    <w:rsid w:val="00501E6C"/>
    <w:rsid w:val="00501FAE"/>
    <w:rsid w:val="00502108"/>
    <w:rsid w:val="0050295D"/>
    <w:rsid w:val="005029BF"/>
    <w:rsid w:val="00502B04"/>
    <w:rsid w:val="00503638"/>
    <w:rsid w:val="00503968"/>
    <w:rsid w:val="005040EF"/>
    <w:rsid w:val="0050537A"/>
    <w:rsid w:val="005053BD"/>
    <w:rsid w:val="00505595"/>
    <w:rsid w:val="0050573F"/>
    <w:rsid w:val="005057F4"/>
    <w:rsid w:val="00506003"/>
    <w:rsid w:val="00506714"/>
    <w:rsid w:val="00507B5B"/>
    <w:rsid w:val="00510794"/>
    <w:rsid w:val="0051093A"/>
    <w:rsid w:val="00510F36"/>
    <w:rsid w:val="00511145"/>
    <w:rsid w:val="00511E3F"/>
    <w:rsid w:val="0051228B"/>
    <w:rsid w:val="005122BE"/>
    <w:rsid w:val="005122EF"/>
    <w:rsid w:val="00512FD4"/>
    <w:rsid w:val="005133D4"/>
    <w:rsid w:val="00513995"/>
    <w:rsid w:val="0051419A"/>
    <w:rsid w:val="0051492B"/>
    <w:rsid w:val="00514C57"/>
    <w:rsid w:val="005153E9"/>
    <w:rsid w:val="005163D8"/>
    <w:rsid w:val="00516529"/>
    <w:rsid w:val="00516604"/>
    <w:rsid w:val="005179AD"/>
    <w:rsid w:val="00520229"/>
    <w:rsid w:val="005203F2"/>
    <w:rsid w:val="005209DE"/>
    <w:rsid w:val="00520B66"/>
    <w:rsid w:val="00521049"/>
    <w:rsid w:val="005216A4"/>
    <w:rsid w:val="00522514"/>
    <w:rsid w:val="00522A28"/>
    <w:rsid w:val="00523696"/>
    <w:rsid w:val="00523D44"/>
    <w:rsid w:val="00524EEE"/>
    <w:rsid w:val="00525905"/>
    <w:rsid w:val="00525AB3"/>
    <w:rsid w:val="005264F1"/>
    <w:rsid w:val="00526678"/>
    <w:rsid w:val="0052679B"/>
    <w:rsid w:val="00526B8C"/>
    <w:rsid w:val="00527167"/>
    <w:rsid w:val="00527566"/>
    <w:rsid w:val="00527E0F"/>
    <w:rsid w:val="005301A4"/>
    <w:rsid w:val="005301D3"/>
    <w:rsid w:val="005304DC"/>
    <w:rsid w:val="00531002"/>
    <w:rsid w:val="005319F3"/>
    <w:rsid w:val="00531DF4"/>
    <w:rsid w:val="0053235F"/>
    <w:rsid w:val="00532E1D"/>
    <w:rsid w:val="005331FD"/>
    <w:rsid w:val="00534676"/>
    <w:rsid w:val="005346CD"/>
    <w:rsid w:val="00534DB8"/>
    <w:rsid w:val="00534F40"/>
    <w:rsid w:val="005350A4"/>
    <w:rsid w:val="0053518A"/>
    <w:rsid w:val="005354A6"/>
    <w:rsid w:val="005357D3"/>
    <w:rsid w:val="0053588D"/>
    <w:rsid w:val="00535DC9"/>
    <w:rsid w:val="00535F8A"/>
    <w:rsid w:val="00540EB5"/>
    <w:rsid w:val="00541140"/>
    <w:rsid w:val="0054122E"/>
    <w:rsid w:val="005428AD"/>
    <w:rsid w:val="00542C53"/>
    <w:rsid w:val="0054300A"/>
    <w:rsid w:val="00544224"/>
    <w:rsid w:val="0054422D"/>
    <w:rsid w:val="005442D5"/>
    <w:rsid w:val="0054493B"/>
    <w:rsid w:val="00544E3E"/>
    <w:rsid w:val="00545500"/>
    <w:rsid w:val="005455AE"/>
    <w:rsid w:val="00546214"/>
    <w:rsid w:val="005463DD"/>
    <w:rsid w:val="00546618"/>
    <w:rsid w:val="005467A2"/>
    <w:rsid w:val="00546AFD"/>
    <w:rsid w:val="00546F87"/>
    <w:rsid w:val="005471AD"/>
    <w:rsid w:val="0054743F"/>
    <w:rsid w:val="00550793"/>
    <w:rsid w:val="0055093C"/>
    <w:rsid w:val="005516E2"/>
    <w:rsid w:val="00551F9E"/>
    <w:rsid w:val="0055209D"/>
    <w:rsid w:val="00552C8D"/>
    <w:rsid w:val="00553460"/>
    <w:rsid w:val="00553634"/>
    <w:rsid w:val="00553B79"/>
    <w:rsid w:val="005540C0"/>
    <w:rsid w:val="00554F8F"/>
    <w:rsid w:val="0055537D"/>
    <w:rsid w:val="00555799"/>
    <w:rsid w:val="005577F6"/>
    <w:rsid w:val="00557B5D"/>
    <w:rsid w:val="00560DF7"/>
    <w:rsid w:val="00561025"/>
    <w:rsid w:val="00561168"/>
    <w:rsid w:val="0056152D"/>
    <w:rsid w:val="00561EB8"/>
    <w:rsid w:val="00561ECD"/>
    <w:rsid w:val="0056274D"/>
    <w:rsid w:val="00562B27"/>
    <w:rsid w:val="00562F57"/>
    <w:rsid w:val="005637B3"/>
    <w:rsid w:val="00563BAE"/>
    <w:rsid w:val="00563F13"/>
    <w:rsid w:val="0056415D"/>
    <w:rsid w:val="00564310"/>
    <w:rsid w:val="005644BF"/>
    <w:rsid w:val="00564CEF"/>
    <w:rsid w:val="00564F3F"/>
    <w:rsid w:val="00565329"/>
    <w:rsid w:val="005658A4"/>
    <w:rsid w:val="00565FB6"/>
    <w:rsid w:val="00566758"/>
    <w:rsid w:val="00566EE0"/>
    <w:rsid w:val="00567586"/>
    <w:rsid w:val="00570029"/>
    <w:rsid w:val="00570E56"/>
    <w:rsid w:val="00570E69"/>
    <w:rsid w:val="00571361"/>
    <w:rsid w:val="00571A34"/>
    <w:rsid w:val="005720B5"/>
    <w:rsid w:val="00572DFF"/>
    <w:rsid w:val="00572E1F"/>
    <w:rsid w:val="00573757"/>
    <w:rsid w:val="00574339"/>
    <w:rsid w:val="00574A6C"/>
    <w:rsid w:val="005751AE"/>
    <w:rsid w:val="005755EB"/>
    <w:rsid w:val="005763D9"/>
    <w:rsid w:val="00576F4F"/>
    <w:rsid w:val="00580772"/>
    <w:rsid w:val="0058081F"/>
    <w:rsid w:val="00580870"/>
    <w:rsid w:val="00580FC6"/>
    <w:rsid w:val="005810BF"/>
    <w:rsid w:val="005810F0"/>
    <w:rsid w:val="005812F4"/>
    <w:rsid w:val="005813D9"/>
    <w:rsid w:val="0058151E"/>
    <w:rsid w:val="00581682"/>
    <w:rsid w:val="0058224D"/>
    <w:rsid w:val="0058332E"/>
    <w:rsid w:val="00583BE1"/>
    <w:rsid w:val="00583EF7"/>
    <w:rsid w:val="00584264"/>
    <w:rsid w:val="00584AFA"/>
    <w:rsid w:val="00584BAD"/>
    <w:rsid w:val="00584F0C"/>
    <w:rsid w:val="00585462"/>
    <w:rsid w:val="0058586A"/>
    <w:rsid w:val="00585BEE"/>
    <w:rsid w:val="00586A07"/>
    <w:rsid w:val="00586C99"/>
    <w:rsid w:val="00586EAE"/>
    <w:rsid w:val="005871C2"/>
    <w:rsid w:val="005901BB"/>
    <w:rsid w:val="005913D9"/>
    <w:rsid w:val="00591BC8"/>
    <w:rsid w:val="00592055"/>
    <w:rsid w:val="00592570"/>
    <w:rsid w:val="0059265E"/>
    <w:rsid w:val="00592EF7"/>
    <w:rsid w:val="00593040"/>
    <w:rsid w:val="0059345A"/>
    <w:rsid w:val="00593C40"/>
    <w:rsid w:val="00593C99"/>
    <w:rsid w:val="005940F4"/>
    <w:rsid w:val="00594447"/>
    <w:rsid w:val="005947B8"/>
    <w:rsid w:val="00594B78"/>
    <w:rsid w:val="0059578B"/>
    <w:rsid w:val="00595931"/>
    <w:rsid w:val="00596EB8"/>
    <w:rsid w:val="00597766"/>
    <w:rsid w:val="00597FDB"/>
    <w:rsid w:val="005A008E"/>
    <w:rsid w:val="005A079E"/>
    <w:rsid w:val="005A07A6"/>
    <w:rsid w:val="005A0A0F"/>
    <w:rsid w:val="005A23DF"/>
    <w:rsid w:val="005A2B48"/>
    <w:rsid w:val="005A306E"/>
    <w:rsid w:val="005A38EC"/>
    <w:rsid w:val="005A41D1"/>
    <w:rsid w:val="005A5A5A"/>
    <w:rsid w:val="005A5E0A"/>
    <w:rsid w:val="005A6553"/>
    <w:rsid w:val="005A6FDF"/>
    <w:rsid w:val="005A747F"/>
    <w:rsid w:val="005A790F"/>
    <w:rsid w:val="005A7940"/>
    <w:rsid w:val="005A7CE5"/>
    <w:rsid w:val="005B0179"/>
    <w:rsid w:val="005B0921"/>
    <w:rsid w:val="005B0A5F"/>
    <w:rsid w:val="005B0DE5"/>
    <w:rsid w:val="005B1564"/>
    <w:rsid w:val="005B19D4"/>
    <w:rsid w:val="005B2353"/>
    <w:rsid w:val="005B2869"/>
    <w:rsid w:val="005B2A2E"/>
    <w:rsid w:val="005B2F5D"/>
    <w:rsid w:val="005B41A9"/>
    <w:rsid w:val="005B4484"/>
    <w:rsid w:val="005B45BC"/>
    <w:rsid w:val="005B5516"/>
    <w:rsid w:val="005B5B50"/>
    <w:rsid w:val="005B6235"/>
    <w:rsid w:val="005B6AFC"/>
    <w:rsid w:val="005B6D63"/>
    <w:rsid w:val="005B71BE"/>
    <w:rsid w:val="005B73AD"/>
    <w:rsid w:val="005B78FD"/>
    <w:rsid w:val="005C04B9"/>
    <w:rsid w:val="005C055F"/>
    <w:rsid w:val="005C0F35"/>
    <w:rsid w:val="005C12A1"/>
    <w:rsid w:val="005C2000"/>
    <w:rsid w:val="005C20B9"/>
    <w:rsid w:val="005C26E8"/>
    <w:rsid w:val="005C2B4B"/>
    <w:rsid w:val="005C3DE9"/>
    <w:rsid w:val="005C41B2"/>
    <w:rsid w:val="005C41B8"/>
    <w:rsid w:val="005C4252"/>
    <w:rsid w:val="005C4665"/>
    <w:rsid w:val="005C4757"/>
    <w:rsid w:val="005C489D"/>
    <w:rsid w:val="005C51D8"/>
    <w:rsid w:val="005C5739"/>
    <w:rsid w:val="005C59B7"/>
    <w:rsid w:val="005C61F2"/>
    <w:rsid w:val="005C6477"/>
    <w:rsid w:val="005C72EF"/>
    <w:rsid w:val="005C7A1F"/>
    <w:rsid w:val="005C7A22"/>
    <w:rsid w:val="005D01FB"/>
    <w:rsid w:val="005D020A"/>
    <w:rsid w:val="005D056F"/>
    <w:rsid w:val="005D05F1"/>
    <w:rsid w:val="005D0CBB"/>
    <w:rsid w:val="005D1087"/>
    <w:rsid w:val="005D204A"/>
    <w:rsid w:val="005D2115"/>
    <w:rsid w:val="005D2DA2"/>
    <w:rsid w:val="005D30B6"/>
    <w:rsid w:val="005D4376"/>
    <w:rsid w:val="005D4A9A"/>
    <w:rsid w:val="005D52F7"/>
    <w:rsid w:val="005D5BBC"/>
    <w:rsid w:val="005D611A"/>
    <w:rsid w:val="005D61C3"/>
    <w:rsid w:val="005D64F5"/>
    <w:rsid w:val="005D67E9"/>
    <w:rsid w:val="005D759F"/>
    <w:rsid w:val="005E0B0E"/>
    <w:rsid w:val="005E1644"/>
    <w:rsid w:val="005E19EE"/>
    <w:rsid w:val="005E2704"/>
    <w:rsid w:val="005E4472"/>
    <w:rsid w:val="005E464F"/>
    <w:rsid w:val="005E4855"/>
    <w:rsid w:val="005E4F46"/>
    <w:rsid w:val="005E5343"/>
    <w:rsid w:val="005E582E"/>
    <w:rsid w:val="005E5F1D"/>
    <w:rsid w:val="005E65A1"/>
    <w:rsid w:val="005E6BC5"/>
    <w:rsid w:val="005E7337"/>
    <w:rsid w:val="005E73A0"/>
    <w:rsid w:val="005E79C7"/>
    <w:rsid w:val="005F065A"/>
    <w:rsid w:val="005F06B4"/>
    <w:rsid w:val="005F07CA"/>
    <w:rsid w:val="005F1FCB"/>
    <w:rsid w:val="005F2D3D"/>
    <w:rsid w:val="005F352A"/>
    <w:rsid w:val="005F3A0D"/>
    <w:rsid w:val="005F3DD6"/>
    <w:rsid w:val="005F418B"/>
    <w:rsid w:val="005F4A6F"/>
    <w:rsid w:val="005F4DF2"/>
    <w:rsid w:val="005F6493"/>
    <w:rsid w:val="005F6587"/>
    <w:rsid w:val="005F6913"/>
    <w:rsid w:val="005F752A"/>
    <w:rsid w:val="005F795B"/>
    <w:rsid w:val="005F7A41"/>
    <w:rsid w:val="005F7FD5"/>
    <w:rsid w:val="00600D16"/>
    <w:rsid w:val="00601542"/>
    <w:rsid w:val="00601795"/>
    <w:rsid w:val="00602082"/>
    <w:rsid w:val="00602614"/>
    <w:rsid w:val="006027A3"/>
    <w:rsid w:val="00602B5C"/>
    <w:rsid w:val="00602D8F"/>
    <w:rsid w:val="00602FAF"/>
    <w:rsid w:val="006033EE"/>
    <w:rsid w:val="00603A5D"/>
    <w:rsid w:val="00604536"/>
    <w:rsid w:val="00604A8D"/>
    <w:rsid w:val="00605049"/>
    <w:rsid w:val="00606386"/>
    <w:rsid w:val="0060649F"/>
    <w:rsid w:val="006066DA"/>
    <w:rsid w:val="00606EFD"/>
    <w:rsid w:val="00607886"/>
    <w:rsid w:val="00610217"/>
    <w:rsid w:val="00610375"/>
    <w:rsid w:val="00610663"/>
    <w:rsid w:val="00610678"/>
    <w:rsid w:val="006108A6"/>
    <w:rsid w:val="00610A6D"/>
    <w:rsid w:val="006110B5"/>
    <w:rsid w:val="00611DB4"/>
    <w:rsid w:val="00612ECE"/>
    <w:rsid w:val="0061327A"/>
    <w:rsid w:val="006138CA"/>
    <w:rsid w:val="00614255"/>
    <w:rsid w:val="006150DB"/>
    <w:rsid w:val="006152E3"/>
    <w:rsid w:val="00615578"/>
    <w:rsid w:val="006157CC"/>
    <w:rsid w:val="00615854"/>
    <w:rsid w:val="00615FFB"/>
    <w:rsid w:val="0061727C"/>
    <w:rsid w:val="0061794C"/>
    <w:rsid w:val="00617E2D"/>
    <w:rsid w:val="00620274"/>
    <w:rsid w:val="00620491"/>
    <w:rsid w:val="00620BD1"/>
    <w:rsid w:val="00621DBD"/>
    <w:rsid w:val="0062276B"/>
    <w:rsid w:val="0062295C"/>
    <w:rsid w:val="0062342B"/>
    <w:rsid w:val="006234CC"/>
    <w:rsid w:val="00625578"/>
    <w:rsid w:val="0062559A"/>
    <w:rsid w:val="006259C6"/>
    <w:rsid w:val="00626047"/>
    <w:rsid w:val="00626E6E"/>
    <w:rsid w:val="00627430"/>
    <w:rsid w:val="0062752D"/>
    <w:rsid w:val="006275C9"/>
    <w:rsid w:val="006277BC"/>
    <w:rsid w:val="006306B9"/>
    <w:rsid w:val="00631825"/>
    <w:rsid w:val="00631D31"/>
    <w:rsid w:val="00632025"/>
    <w:rsid w:val="00632B82"/>
    <w:rsid w:val="00633096"/>
    <w:rsid w:val="00633924"/>
    <w:rsid w:val="00633E80"/>
    <w:rsid w:val="00636D4E"/>
    <w:rsid w:val="00637302"/>
    <w:rsid w:val="006373B4"/>
    <w:rsid w:val="00637A93"/>
    <w:rsid w:val="006402D9"/>
    <w:rsid w:val="00640BA4"/>
    <w:rsid w:val="00640EEE"/>
    <w:rsid w:val="00641704"/>
    <w:rsid w:val="00641CA6"/>
    <w:rsid w:val="00641DA6"/>
    <w:rsid w:val="00642171"/>
    <w:rsid w:val="006426AE"/>
    <w:rsid w:val="00643179"/>
    <w:rsid w:val="00643E1E"/>
    <w:rsid w:val="00644914"/>
    <w:rsid w:val="006460C9"/>
    <w:rsid w:val="00646999"/>
    <w:rsid w:val="00646D38"/>
    <w:rsid w:val="0064710D"/>
    <w:rsid w:val="006472CE"/>
    <w:rsid w:val="00647678"/>
    <w:rsid w:val="00647906"/>
    <w:rsid w:val="006501E4"/>
    <w:rsid w:val="00650534"/>
    <w:rsid w:val="00651476"/>
    <w:rsid w:val="0065148C"/>
    <w:rsid w:val="006515AC"/>
    <w:rsid w:val="006533D6"/>
    <w:rsid w:val="00653570"/>
    <w:rsid w:val="00653622"/>
    <w:rsid w:val="00653AE2"/>
    <w:rsid w:val="006540FD"/>
    <w:rsid w:val="0065431E"/>
    <w:rsid w:val="0065458F"/>
    <w:rsid w:val="0065607F"/>
    <w:rsid w:val="00656A03"/>
    <w:rsid w:val="00656A1C"/>
    <w:rsid w:val="00656C46"/>
    <w:rsid w:val="00656E60"/>
    <w:rsid w:val="0065714E"/>
    <w:rsid w:val="00657E4D"/>
    <w:rsid w:val="0066024C"/>
    <w:rsid w:val="006608CF"/>
    <w:rsid w:val="006613A5"/>
    <w:rsid w:val="0066331C"/>
    <w:rsid w:val="006638CE"/>
    <w:rsid w:val="00664B89"/>
    <w:rsid w:val="00664FD4"/>
    <w:rsid w:val="00665519"/>
    <w:rsid w:val="0066559F"/>
    <w:rsid w:val="006655D6"/>
    <w:rsid w:val="0066573F"/>
    <w:rsid w:val="006661B9"/>
    <w:rsid w:val="00666487"/>
    <w:rsid w:val="006671F1"/>
    <w:rsid w:val="00667864"/>
    <w:rsid w:val="00667DCF"/>
    <w:rsid w:val="00667DD9"/>
    <w:rsid w:val="00670024"/>
    <w:rsid w:val="00670A28"/>
    <w:rsid w:val="00670C62"/>
    <w:rsid w:val="00670DCC"/>
    <w:rsid w:val="00670E23"/>
    <w:rsid w:val="00671263"/>
    <w:rsid w:val="00671937"/>
    <w:rsid w:val="006720F6"/>
    <w:rsid w:val="00672664"/>
    <w:rsid w:val="00672BAA"/>
    <w:rsid w:val="00672D1A"/>
    <w:rsid w:val="00673111"/>
    <w:rsid w:val="0067454E"/>
    <w:rsid w:val="006745E1"/>
    <w:rsid w:val="006745EB"/>
    <w:rsid w:val="00674C6C"/>
    <w:rsid w:val="0067584D"/>
    <w:rsid w:val="0067628D"/>
    <w:rsid w:val="00676B81"/>
    <w:rsid w:val="00677436"/>
    <w:rsid w:val="00677CC6"/>
    <w:rsid w:val="00677DFE"/>
    <w:rsid w:val="00680E1A"/>
    <w:rsid w:val="00681463"/>
    <w:rsid w:val="00681929"/>
    <w:rsid w:val="00681CE3"/>
    <w:rsid w:val="0068210E"/>
    <w:rsid w:val="00682798"/>
    <w:rsid w:val="00682DBE"/>
    <w:rsid w:val="00683DE7"/>
    <w:rsid w:val="00684510"/>
    <w:rsid w:val="00684DE0"/>
    <w:rsid w:val="006855C9"/>
    <w:rsid w:val="00685929"/>
    <w:rsid w:val="00685E8D"/>
    <w:rsid w:val="006860E0"/>
    <w:rsid w:val="006865B3"/>
    <w:rsid w:val="00686618"/>
    <w:rsid w:val="00686FC8"/>
    <w:rsid w:val="00687159"/>
    <w:rsid w:val="00687651"/>
    <w:rsid w:val="00687C21"/>
    <w:rsid w:val="00687DB0"/>
    <w:rsid w:val="0069089E"/>
    <w:rsid w:val="006912B1"/>
    <w:rsid w:val="00692B43"/>
    <w:rsid w:val="006935BC"/>
    <w:rsid w:val="00693A95"/>
    <w:rsid w:val="00693B13"/>
    <w:rsid w:val="006947A9"/>
    <w:rsid w:val="00694DBD"/>
    <w:rsid w:val="00695430"/>
    <w:rsid w:val="00695734"/>
    <w:rsid w:val="0069634C"/>
    <w:rsid w:val="00696683"/>
    <w:rsid w:val="00696A3E"/>
    <w:rsid w:val="00697F0B"/>
    <w:rsid w:val="006A00D0"/>
    <w:rsid w:val="006A06EF"/>
    <w:rsid w:val="006A131E"/>
    <w:rsid w:val="006A1B5B"/>
    <w:rsid w:val="006A2530"/>
    <w:rsid w:val="006A2DC4"/>
    <w:rsid w:val="006A3145"/>
    <w:rsid w:val="006A486B"/>
    <w:rsid w:val="006A5830"/>
    <w:rsid w:val="006A6730"/>
    <w:rsid w:val="006A67E3"/>
    <w:rsid w:val="006A7A29"/>
    <w:rsid w:val="006A7C26"/>
    <w:rsid w:val="006A7CB5"/>
    <w:rsid w:val="006B052C"/>
    <w:rsid w:val="006B07C2"/>
    <w:rsid w:val="006B0915"/>
    <w:rsid w:val="006B0DF5"/>
    <w:rsid w:val="006B105E"/>
    <w:rsid w:val="006B1444"/>
    <w:rsid w:val="006B1EDA"/>
    <w:rsid w:val="006B2233"/>
    <w:rsid w:val="006B3013"/>
    <w:rsid w:val="006B31C3"/>
    <w:rsid w:val="006B3BD2"/>
    <w:rsid w:val="006B4904"/>
    <w:rsid w:val="006B4C2D"/>
    <w:rsid w:val="006B59CC"/>
    <w:rsid w:val="006B5B3F"/>
    <w:rsid w:val="006B5CA6"/>
    <w:rsid w:val="006B686E"/>
    <w:rsid w:val="006B6976"/>
    <w:rsid w:val="006B6A3B"/>
    <w:rsid w:val="006B6C3F"/>
    <w:rsid w:val="006B75FB"/>
    <w:rsid w:val="006B76C7"/>
    <w:rsid w:val="006C07FF"/>
    <w:rsid w:val="006C093B"/>
    <w:rsid w:val="006C1131"/>
    <w:rsid w:val="006C1518"/>
    <w:rsid w:val="006C210B"/>
    <w:rsid w:val="006C28D3"/>
    <w:rsid w:val="006C2920"/>
    <w:rsid w:val="006C2C6A"/>
    <w:rsid w:val="006C3E67"/>
    <w:rsid w:val="006C45CA"/>
    <w:rsid w:val="006C45FD"/>
    <w:rsid w:val="006C49AB"/>
    <w:rsid w:val="006C4A26"/>
    <w:rsid w:val="006C5CDC"/>
    <w:rsid w:val="006C5CFB"/>
    <w:rsid w:val="006C605F"/>
    <w:rsid w:val="006C6072"/>
    <w:rsid w:val="006C6A0B"/>
    <w:rsid w:val="006C6C6F"/>
    <w:rsid w:val="006C756B"/>
    <w:rsid w:val="006C7EC0"/>
    <w:rsid w:val="006D05ED"/>
    <w:rsid w:val="006D0E3D"/>
    <w:rsid w:val="006D2BCA"/>
    <w:rsid w:val="006D2D18"/>
    <w:rsid w:val="006D2E92"/>
    <w:rsid w:val="006D2F55"/>
    <w:rsid w:val="006D2FDA"/>
    <w:rsid w:val="006D31B5"/>
    <w:rsid w:val="006D3539"/>
    <w:rsid w:val="006D4014"/>
    <w:rsid w:val="006D4745"/>
    <w:rsid w:val="006D47F5"/>
    <w:rsid w:val="006D4807"/>
    <w:rsid w:val="006D4BE5"/>
    <w:rsid w:val="006D4FDE"/>
    <w:rsid w:val="006D5715"/>
    <w:rsid w:val="006D5900"/>
    <w:rsid w:val="006D6781"/>
    <w:rsid w:val="006D72B3"/>
    <w:rsid w:val="006D7393"/>
    <w:rsid w:val="006D7B6C"/>
    <w:rsid w:val="006D7EEC"/>
    <w:rsid w:val="006E0175"/>
    <w:rsid w:val="006E0227"/>
    <w:rsid w:val="006E02FC"/>
    <w:rsid w:val="006E0896"/>
    <w:rsid w:val="006E1217"/>
    <w:rsid w:val="006E1CFF"/>
    <w:rsid w:val="006E22F6"/>
    <w:rsid w:val="006E2732"/>
    <w:rsid w:val="006E290F"/>
    <w:rsid w:val="006E2ACD"/>
    <w:rsid w:val="006E387B"/>
    <w:rsid w:val="006E576C"/>
    <w:rsid w:val="006E58D7"/>
    <w:rsid w:val="006E59D7"/>
    <w:rsid w:val="006E643D"/>
    <w:rsid w:val="006E67C4"/>
    <w:rsid w:val="006E6FC0"/>
    <w:rsid w:val="006E7902"/>
    <w:rsid w:val="006E7A81"/>
    <w:rsid w:val="006F0B11"/>
    <w:rsid w:val="006F0B7F"/>
    <w:rsid w:val="006F180D"/>
    <w:rsid w:val="006F1F4F"/>
    <w:rsid w:val="006F2248"/>
    <w:rsid w:val="006F2301"/>
    <w:rsid w:val="006F2A93"/>
    <w:rsid w:val="006F2B16"/>
    <w:rsid w:val="006F2CD3"/>
    <w:rsid w:val="006F331A"/>
    <w:rsid w:val="006F389C"/>
    <w:rsid w:val="006F3E06"/>
    <w:rsid w:val="006F4CCC"/>
    <w:rsid w:val="006F54F8"/>
    <w:rsid w:val="006F5876"/>
    <w:rsid w:val="006F5B16"/>
    <w:rsid w:val="006F6C9A"/>
    <w:rsid w:val="006F6EE3"/>
    <w:rsid w:val="006F71EF"/>
    <w:rsid w:val="006F7CE0"/>
    <w:rsid w:val="0070040A"/>
    <w:rsid w:val="007006B8"/>
    <w:rsid w:val="00700A48"/>
    <w:rsid w:val="00701545"/>
    <w:rsid w:val="00701553"/>
    <w:rsid w:val="00701D6C"/>
    <w:rsid w:val="0070254A"/>
    <w:rsid w:val="007025D0"/>
    <w:rsid w:val="00703060"/>
    <w:rsid w:val="00703CAA"/>
    <w:rsid w:val="00703E25"/>
    <w:rsid w:val="007043CA"/>
    <w:rsid w:val="007056AD"/>
    <w:rsid w:val="007056EE"/>
    <w:rsid w:val="007064AC"/>
    <w:rsid w:val="00707583"/>
    <w:rsid w:val="00707720"/>
    <w:rsid w:val="0070791D"/>
    <w:rsid w:val="00710CA3"/>
    <w:rsid w:val="00710FCE"/>
    <w:rsid w:val="007114B3"/>
    <w:rsid w:val="00711762"/>
    <w:rsid w:val="0071214B"/>
    <w:rsid w:val="00712C82"/>
    <w:rsid w:val="00713EC5"/>
    <w:rsid w:val="007140A8"/>
    <w:rsid w:val="007142E2"/>
    <w:rsid w:val="00714E07"/>
    <w:rsid w:val="007152CD"/>
    <w:rsid w:val="00715782"/>
    <w:rsid w:val="0071580A"/>
    <w:rsid w:val="00715D08"/>
    <w:rsid w:val="00716042"/>
    <w:rsid w:val="00716408"/>
    <w:rsid w:val="0071660B"/>
    <w:rsid w:val="00717055"/>
    <w:rsid w:val="00717209"/>
    <w:rsid w:val="0071740D"/>
    <w:rsid w:val="0071745C"/>
    <w:rsid w:val="007174CE"/>
    <w:rsid w:val="00717BB5"/>
    <w:rsid w:val="0072065E"/>
    <w:rsid w:val="00721471"/>
    <w:rsid w:val="00722172"/>
    <w:rsid w:val="00722706"/>
    <w:rsid w:val="007230C6"/>
    <w:rsid w:val="00723F34"/>
    <w:rsid w:val="00724BAA"/>
    <w:rsid w:val="00725BAC"/>
    <w:rsid w:val="0072641F"/>
    <w:rsid w:val="00726473"/>
    <w:rsid w:val="00726544"/>
    <w:rsid w:val="00726668"/>
    <w:rsid w:val="007267FF"/>
    <w:rsid w:val="00726EDF"/>
    <w:rsid w:val="00727671"/>
    <w:rsid w:val="00730335"/>
    <w:rsid w:val="00730878"/>
    <w:rsid w:val="00730969"/>
    <w:rsid w:val="00730D24"/>
    <w:rsid w:val="00731856"/>
    <w:rsid w:val="007321B2"/>
    <w:rsid w:val="00732D7E"/>
    <w:rsid w:val="00733F72"/>
    <w:rsid w:val="00734239"/>
    <w:rsid w:val="00734D0A"/>
    <w:rsid w:val="00734D44"/>
    <w:rsid w:val="00735B2A"/>
    <w:rsid w:val="00735C62"/>
    <w:rsid w:val="007361F3"/>
    <w:rsid w:val="00736209"/>
    <w:rsid w:val="007362DF"/>
    <w:rsid w:val="00736637"/>
    <w:rsid w:val="0073684D"/>
    <w:rsid w:val="00737491"/>
    <w:rsid w:val="00737B94"/>
    <w:rsid w:val="00740451"/>
    <w:rsid w:val="00740478"/>
    <w:rsid w:val="00740FE4"/>
    <w:rsid w:val="007410AC"/>
    <w:rsid w:val="0074120E"/>
    <w:rsid w:val="007414D3"/>
    <w:rsid w:val="00741869"/>
    <w:rsid w:val="00741E7D"/>
    <w:rsid w:val="00742F80"/>
    <w:rsid w:val="007430F7"/>
    <w:rsid w:val="007432E6"/>
    <w:rsid w:val="00743A9F"/>
    <w:rsid w:val="00743E7D"/>
    <w:rsid w:val="0074490F"/>
    <w:rsid w:val="007449C2"/>
    <w:rsid w:val="00745180"/>
    <w:rsid w:val="007451A9"/>
    <w:rsid w:val="00745249"/>
    <w:rsid w:val="007457C2"/>
    <w:rsid w:val="00745B6A"/>
    <w:rsid w:val="00746405"/>
    <w:rsid w:val="00746557"/>
    <w:rsid w:val="00750369"/>
    <w:rsid w:val="007511D1"/>
    <w:rsid w:val="00751EDF"/>
    <w:rsid w:val="00752E60"/>
    <w:rsid w:val="007536C9"/>
    <w:rsid w:val="00753AD5"/>
    <w:rsid w:val="007543CC"/>
    <w:rsid w:val="007545F7"/>
    <w:rsid w:val="0075464C"/>
    <w:rsid w:val="00754999"/>
    <w:rsid w:val="00755B2E"/>
    <w:rsid w:val="00755EAF"/>
    <w:rsid w:val="0075625D"/>
    <w:rsid w:val="0075749A"/>
    <w:rsid w:val="007577B9"/>
    <w:rsid w:val="007579D3"/>
    <w:rsid w:val="00760A74"/>
    <w:rsid w:val="00760C83"/>
    <w:rsid w:val="00761302"/>
    <w:rsid w:val="007614F8"/>
    <w:rsid w:val="00761D79"/>
    <w:rsid w:val="0076200D"/>
    <w:rsid w:val="00762351"/>
    <w:rsid w:val="00763602"/>
    <w:rsid w:val="00763FB8"/>
    <w:rsid w:val="0076410D"/>
    <w:rsid w:val="0076428D"/>
    <w:rsid w:val="0076429E"/>
    <w:rsid w:val="00764612"/>
    <w:rsid w:val="0076524B"/>
    <w:rsid w:val="00765C5B"/>
    <w:rsid w:val="0076714E"/>
    <w:rsid w:val="00767818"/>
    <w:rsid w:val="007679C4"/>
    <w:rsid w:val="00767B15"/>
    <w:rsid w:val="00771342"/>
    <w:rsid w:val="00771894"/>
    <w:rsid w:val="007718D7"/>
    <w:rsid w:val="007718DC"/>
    <w:rsid w:val="00771D32"/>
    <w:rsid w:val="00771D89"/>
    <w:rsid w:val="007729C5"/>
    <w:rsid w:val="00772AD7"/>
    <w:rsid w:val="00772DE3"/>
    <w:rsid w:val="0077330F"/>
    <w:rsid w:val="00773870"/>
    <w:rsid w:val="00773DAF"/>
    <w:rsid w:val="0077522A"/>
    <w:rsid w:val="00775580"/>
    <w:rsid w:val="00775EFD"/>
    <w:rsid w:val="007760E9"/>
    <w:rsid w:val="00776334"/>
    <w:rsid w:val="0077671F"/>
    <w:rsid w:val="00776827"/>
    <w:rsid w:val="00777460"/>
    <w:rsid w:val="0077784E"/>
    <w:rsid w:val="00780B77"/>
    <w:rsid w:val="00780C2E"/>
    <w:rsid w:val="0078165D"/>
    <w:rsid w:val="00781F20"/>
    <w:rsid w:val="00781FBB"/>
    <w:rsid w:val="00782282"/>
    <w:rsid w:val="0078240B"/>
    <w:rsid w:val="00782A6F"/>
    <w:rsid w:val="00782B9F"/>
    <w:rsid w:val="00782CB4"/>
    <w:rsid w:val="00782F4C"/>
    <w:rsid w:val="00784DC6"/>
    <w:rsid w:val="00784FA5"/>
    <w:rsid w:val="00785154"/>
    <w:rsid w:val="00785407"/>
    <w:rsid w:val="007859E2"/>
    <w:rsid w:val="0078609D"/>
    <w:rsid w:val="007868C5"/>
    <w:rsid w:val="0078774F"/>
    <w:rsid w:val="00787784"/>
    <w:rsid w:val="00787D67"/>
    <w:rsid w:val="00790711"/>
    <w:rsid w:val="00791B69"/>
    <w:rsid w:val="00791E13"/>
    <w:rsid w:val="007936F9"/>
    <w:rsid w:val="00794730"/>
    <w:rsid w:val="00794C64"/>
    <w:rsid w:val="00794F7C"/>
    <w:rsid w:val="00795FB4"/>
    <w:rsid w:val="007960A7"/>
    <w:rsid w:val="0079650A"/>
    <w:rsid w:val="00796930"/>
    <w:rsid w:val="007A0FD4"/>
    <w:rsid w:val="007A1092"/>
    <w:rsid w:val="007A1CA2"/>
    <w:rsid w:val="007A1D9D"/>
    <w:rsid w:val="007A2310"/>
    <w:rsid w:val="007A27F2"/>
    <w:rsid w:val="007A289E"/>
    <w:rsid w:val="007A312B"/>
    <w:rsid w:val="007A3462"/>
    <w:rsid w:val="007A3476"/>
    <w:rsid w:val="007A355B"/>
    <w:rsid w:val="007A3DAF"/>
    <w:rsid w:val="007A3E35"/>
    <w:rsid w:val="007A413F"/>
    <w:rsid w:val="007A4532"/>
    <w:rsid w:val="007A4ADD"/>
    <w:rsid w:val="007A527E"/>
    <w:rsid w:val="007A545E"/>
    <w:rsid w:val="007A593C"/>
    <w:rsid w:val="007A5C52"/>
    <w:rsid w:val="007A5DB5"/>
    <w:rsid w:val="007A669B"/>
    <w:rsid w:val="007A6A1D"/>
    <w:rsid w:val="007A6C88"/>
    <w:rsid w:val="007A759E"/>
    <w:rsid w:val="007A7881"/>
    <w:rsid w:val="007B010D"/>
    <w:rsid w:val="007B0492"/>
    <w:rsid w:val="007B092A"/>
    <w:rsid w:val="007B1227"/>
    <w:rsid w:val="007B2AE4"/>
    <w:rsid w:val="007B3657"/>
    <w:rsid w:val="007B41CE"/>
    <w:rsid w:val="007B4DE2"/>
    <w:rsid w:val="007B5354"/>
    <w:rsid w:val="007B6E17"/>
    <w:rsid w:val="007B70E0"/>
    <w:rsid w:val="007B79E6"/>
    <w:rsid w:val="007B7A2A"/>
    <w:rsid w:val="007C0E95"/>
    <w:rsid w:val="007C1058"/>
    <w:rsid w:val="007C1C20"/>
    <w:rsid w:val="007C2EC8"/>
    <w:rsid w:val="007C328A"/>
    <w:rsid w:val="007C3697"/>
    <w:rsid w:val="007C4400"/>
    <w:rsid w:val="007C4844"/>
    <w:rsid w:val="007C54FC"/>
    <w:rsid w:val="007C5BF6"/>
    <w:rsid w:val="007C5CAE"/>
    <w:rsid w:val="007C5CD6"/>
    <w:rsid w:val="007C685E"/>
    <w:rsid w:val="007C68A9"/>
    <w:rsid w:val="007C6944"/>
    <w:rsid w:val="007C6B17"/>
    <w:rsid w:val="007C6C38"/>
    <w:rsid w:val="007C6C70"/>
    <w:rsid w:val="007C6CFB"/>
    <w:rsid w:val="007C6EF1"/>
    <w:rsid w:val="007C733A"/>
    <w:rsid w:val="007C74B0"/>
    <w:rsid w:val="007C7649"/>
    <w:rsid w:val="007D1904"/>
    <w:rsid w:val="007D1A78"/>
    <w:rsid w:val="007D1F8E"/>
    <w:rsid w:val="007D359C"/>
    <w:rsid w:val="007D3607"/>
    <w:rsid w:val="007D381D"/>
    <w:rsid w:val="007D38CF"/>
    <w:rsid w:val="007D3BA6"/>
    <w:rsid w:val="007D4CFA"/>
    <w:rsid w:val="007D4DD0"/>
    <w:rsid w:val="007D5134"/>
    <w:rsid w:val="007D6011"/>
    <w:rsid w:val="007D65A4"/>
    <w:rsid w:val="007D6654"/>
    <w:rsid w:val="007D6850"/>
    <w:rsid w:val="007D6959"/>
    <w:rsid w:val="007D6AF9"/>
    <w:rsid w:val="007D6C17"/>
    <w:rsid w:val="007D6F12"/>
    <w:rsid w:val="007D7D71"/>
    <w:rsid w:val="007E0B06"/>
    <w:rsid w:val="007E102B"/>
    <w:rsid w:val="007E1601"/>
    <w:rsid w:val="007E220E"/>
    <w:rsid w:val="007E31E3"/>
    <w:rsid w:val="007E3F08"/>
    <w:rsid w:val="007E4A01"/>
    <w:rsid w:val="007E4A66"/>
    <w:rsid w:val="007E5BBC"/>
    <w:rsid w:val="007E60BB"/>
    <w:rsid w:val="007E6290"/>
    <w:rsid w:val="007E6347"/>
    <w:rsid w:val="007E64FC"/>
    <w:rsid w:val="007E6DB6"/>
    <w:rsid w:val="007E716D"/>
    <w:rsid w:val="007F013C"/>
    <w:rsid w:val="007F033D"/>
    <w:rsid w:val="007F112C"/>
    <w:rsid w:val="007F1E11"/>
    <w:rsid w:val="007F20BF"/>
    <w:rsid w:val="007F271A"/>
    <w:rsid w:val="007F2784"/>
    <w:rsid w:val="007F3814"/>
    <w:rsid w:val="007F3976"/>
    <w:rsid w:val="007F3F7E"/>
    <w:rsid w:val="007F4770"/>
    <w:rsid w:val="007F4C0B"/>
    <w:rsid w:val="007F4EDE"/>
    <w:rsid w:val="007F5437"/>
    <w:rsid w:val="007F5B5E"/>
    <w:rsid w:val="007F6AC2"/>
    <w:rsid w:val="007F6C8D"/>
    <w:rsid w:val="007F7B28"/>
    <w:rsid w:val="007F7DE1"/>
    <w:rsid w:val="007F7DFF"/>
    <w:rsid w:val="00800992"/>
    <w:rsid w:val="00800AED"/>
    <w:rsid w:val="00800D6A"/>
    <w:rsid w:val="00801C2C"/>
    <w:rsid w:val="00801F3F"/>
    <w:rsid w:val="00802475"/>
    <w:rsid w:val="00802489"/>
    <w:rsid w:val="008027CA"/>
    <w:rsid w:val="00802A04"/>
    <w:rsid w:val="00802E60"/>
    <w:rsid w:val="00802E73"/>
    <w:rsid w:val="00803205"/>
    <w:rsid w:val="00803F64"/>
    <w:rsid w:val="00804E19"/>
    <w:rsid w:val="008055CA"/>
    <w:rsid w:val="008060EC"/>
    <w:rsid w:val="00806628"/>
    <w:rsid w:val="00806AC3"/>
    <w:rsid w:val="00807359"/>
    <w:rsid w:val="00810CE4"/>
    <w:rsid w:val="00810DAD"/>
    <w:rsid w:val="00811248"/>
    <w:rsid w:val="00811316"/>
    <w:rsid w:val="008114F2"/>
    <w:rsid w:val="00811663"/>
    <w:rsid w:val="00812A18"/>
    <w:rsid w:val="00812F54"/>
    <w:rsid w:val="00813821"/>
    <w:rsid w:val="00813D41"/>
    <w:rsid w:val="00814C3B"/>
    <w:rsid w:val="00815870"/>
    <w:rsid w:val="00815EDB"/>
    <w:rsid w:val="0081631D"/>
    <w:rsid w:val="008163B3"/>
    <w:rsid w:val="00816990"/>
    <w:rsid w:val="00816A80"/>
    <w:rsid w:val="00817480"/>
    <w:rsid w:val="00817E51"/>
    <w:rsid w:val="00820345"/>
    <w:rsid w:val="008205F3"/>
    <w:rsid w:val="00820D25"/>
    <w:rsid w:val="00821DDB"/>
    <w:rsid w:val="0082215C"/>
    <w:rsid w:val="00822228"/>
    <w:rsid w:val="00822A31"/>
    <w:rsid w:val="008233F5"/>
    <w:rsid w:val="00823A2F"/>
    <w:rsid w:val="00823B83"/>
    <w:rsid w:val="0082437D"/>
    <w:rsid w:val="0082474E"/>
    <w:rsid w:val="008247B7"/>
    <w:rsid w:val="00825059"/>
    <w:rsid w:val="00825624"/>
    <w:rsid w:val="00825807"/>
    <w:rsid w:val="00825A46"/>
    <w:rsid w:val="0082659D"/>
    <w:rsid w:val="008272CA"/>
    <w:rsid w:val="0083072F"/>
    <w:rsid w:val="00830A64"/>
    <w:rsid w:val="00830C70"/>
    <w:rsid w:val="00830E9D"/>
    <w:rsid w:val="008321B1"/>
    <w:rsid w:val="00833892"/>
    <w:rsid w:val="00833A02"/>
    <w:rsid w:val="00833D06"/>
    <w:rsid w:val="0083409B"/>
    <w:rsid w:val="008340BE"/>
    <w:rsid w:val="00834383"/>
    <w:rsid w:val="00834A18"/>
    <w:rsid w:val="00834BA0"/>
    <w:rsid w:val="00835270"/>
    <w:rsid w:val="00835811"/>
    <w:rsid w:val="008358B0"/>
    <w:rsid w:val="00836FF5"/>
    <w:rsid w:val="00837398"/>
    <w:rsid w:val="00837C45"/>
    <w:rsid w:val="00837D58"/>
    <w:rsid w:val="00837DF9"/>
    <w:rsid w:val="00840027"/>
    <w:rsid w:val="0084092B"/>
    <w:rsid w:val="00840D48"/>
    <w:rsid w:val="008414C5"/>
    <w:rsid w:val="00841562"/>
    <w:rsid w:val="00841C17"/>
    <w:rsid w:val="008429FC"/>
    <w:rsid w:val="00842E24"/>
    <w:rsid w:val="00844217"/>
    <w:rsid w:val="00844563"/>
    <w:rsid w:val="008449D4"/>
    <w:rsid w:val="00844BE1"/>
    <w:rsid w:val="00845154"/>
    <w:rsid w:val="00845441"/>
    <w:rsid w:val="008454BF"/>
    <w:rsid w:val="0084579D"/>
    <w:rsid w:val="00845825"/>
    <w:rsid w:val="008459C8"/>
    <w:rsid w:val="00845B97"/>
    <w:rsid w:val="0084628E"/>
    <w:rsid w:val="00846656"/>
    <w:rsid w:val="00846AF1"/>
    <w:rsid w:val="00846ED3"/>
    <w:rsid w:val="008470B9"/>
    <w:rsid w:val="0085040C"/>
    <w:rsid w:val="008519C7"/>
    <w:rsid w:val="00851B87"/>
    <w:rsid w:val="00852220"/>
    <w:rsid w:val="0085223D"/>
    <w:rsid w:val="00852614"/>
    <w:rsid w:val="00852DA2"/>
    <w:rsid w:val="00852DDC"/>
    <w:rsid w:val="00852EB2"/>
    <w:rsid w:val="008540DB"/>
    <w:rsid w:val="008544D8"/>
    <w:rsid w:val="008547B3"/>
    <w:rsid w:val="00855A6F"/>
    <w:rsid w:val="0085672D"/>
    <w:rsid w:val="008567F5"/>
    <w:rsid w:val="00856CAA"/>
    <w:rsid w:val="008579F2"/>
    <w:rsid w:val="008601DD"/>
    <w:rsid w:val="00860501"/>
    <w:rsid w:val="008605ED"/>
    <w:rsid w:val="00861185"/>
    <w:rsid w:val="00861278"/>
    <w:rsid w:val="00861ED4"/>
    <w:rsid w:val="00862BFA"/>
    <w:rsid w:val="0086301D"/>
    <w:rsid w:val="00863649"/>
    <w:rsid w:val="008636D1"/>
    <w:rsid w:val="00863C05"/>
    <w:rsid w:val="0086402C"/>
    <w:rsid w:val="0086407D"/>
    <w:rsid w:val="008656C3"/>
    <w:rsid w:val="00866993"/>
    <w:rsid w:val="00867312"/>
    <w:rsid w:val="008676B2"/>
    <w:rsid w:val="00867763"/>
    <w:rsid w:val="00870560"/>
    <w:rsid w:val="0087098F"/>
    <w:rsid w:val="00871195"/>
    <w:rsid w:val="00871846"/>
    <w:rsid w:val="00872416"/>
    <w:rsid w:val="00872FCE"/>
    <w:rsid w:val="00873087"/>
    <w:rsid w:val="0087357C"/>
    <w:rsid w:val="00873ABC"/>
    <w:rsid w:val="00873D1E"/>
    <w:rsid w:val="00875824"/>
    <w:rsid w:val="00875ADC"/>
    <w:rsid w:val="00875C5B"/>
    <w:rsid w:val="00876C45"/>
    <w:rsid w:val="00876C66"/>
    <w:rsid w:val="00877925"/>
    <w:rsid w:val="00877E68"/>
    <w:rsid w:val="00877F5E"/>
    <w:rsid w:val="00881153"/>
    <w:rsid w:val="008811AA"/>
    <w:rsid w:val="00881A2D"/>
    <w:rsid w:val="00881D30"/>
    <w:rsid w:val="00883536"/>
    <w:rsid w:val="008835FD"/>
    <w:rsid w:val="00884900"/>
    <w:rsid w:val="00884903"/>
    <w:rsid w:val="00884B82"/>
    <w:rsid w:val="00885879"/>
    <w:rsid w:val="008860FD"/>
    <w:rsid w:val="00886C8A"/>
    <w:rsid w:val="00886EA0"/>
    <w:rsid w:val="0088705B"/>
    <w:rsid w:val="0088726E"/>
    <w:rsid w:val="008875BB"/>
    <w:rsid w:val="00890289"/>
    <w:rsid w:val="00890C68"/>
    <w:rsid w:val="00890F72"/>
    <w:rsid w:val="00891052"/>
    <w:rsid w:val="00891ADB"/>
    <w:rsid w:val="0089225F"/>
    <w:rsid w:val="00892B3A"/>
    <w:rsid w:val="0089347F"/>
    <w:rsid w:val="00894743"/>
    <w:rsid w:val="00894EB1"/>
    <w:rsid w:val="00895036"/>
    <w:rsid w:val="00895672"/>
    <w:rsid w:val="00895945"/>
    <w:rsid w:val="00895C32"/>
    <w:rsid w:val="00896E8E"/>
    <w:rsid w:val="0089712B"/>
    <w:rsid w:val="00897349"/>
    <w:rsid w:val="00897613"/>
    <w:rsid w:val="00897CC4"/>
    <w:rsid w:val="00897DCC"/>
    <w:rsid w:val="008A13EC"/>
    <w:rsid w:val="008A1506"/>
    <w:rsid w:val="008A177E"/>
    <w:rsid w:val="008A1D23"/>
    <w:rsid w:val="008A2513"/>
    <w:rsid w:val="008A2549"/>
    <w:rsid w:val="008A368C"/>
    <w:rsid w:val="008A37BE"/>
    <w:rsid w:val="008A3B5B"/>
    <w:rsid w:val="008A43C8"/>
    <w:rsid w:val="008A488D"/>
    <w:rsid w:val="008A4B6D"/>
    <w:rsid w:val="008A5326"/>
    <w:rsid w:val="008A631E"/>
    <w:rsid w:val="008A6377"/>
    <w:rsid w:val="008A6B1F"/>
    <w:rsid w:val="008B120C"/>
    <w:rsid w:val="008B2428"/>
    <w:rsid w:val="008B2D16"/>
    <w:rsid w:val="008B2FF2"/>
    <w:rsid w:val="008B33AC"/>
    <w:rsid w:val="008B34AD"/>
    <w:rsid w:val="008B3A12"/>
    <w:rsid w:val="008B3BC8"/>
    <w:rsid w:val="008B3CCF"/>
    <w:rsid w:val="008B48F3"/>
    <w:rsid w:val="008B4EEC"/>
    <w:rsid w:val="008B5AB0"/>
    <w:rsid w:val="008B6024"/>
    <w:rsid w:val="008B678C"/>
    <w:rsid w:val="008C021C"/>
    <w:rsid w:val="008C03E3"/>
    <w:rsid w:val="008C0B2C"/>
    <w:rsid w:val="008C0C05"/>
    <w:rsid w:val="008C0D8B"/>
    <w:rsid w:val="008C10CA"/>
    <w:rsid w:val="008C1F0A"/>
    <w:rsid w:val="008C5754"/>
    <w:rsid w:val="008C5E48"/>
    <w:rsid w:val="008C679F"/>
    <w:rsid w:val="008C7830"/>
    <w:rsid w:val="008D0178"/>
    <w:rsid w:val="008D04DE"/>
    <w:rsid w:val="008D0891"/>
    <w:rsid w:val="008D0896"/>
    <w:rsid w:val="008D100E"/>
    <w:rsid w:val="008D2BE0"/>
    <w:rsid w:val="008D2C23"/>
    <w:rsid w:val="008D3AB6"/>
    <w:rsid w:val="008D49C5"/>
    <w:rsid w:val="008D5FBA"/>
    <w:rsid w:val="008D6713"/>
    <w:rsid w:val="008D720E"/>
    <w:rsid w:val="008D7392"/>
    <w:rsid w:val="008D7918"/>
    <w:rsid w:val="008D7CB6"/>
    <w:rsid w:val="008D7E86"/>
    <w:rsid w:val="008E05C1"/>
    <w:rsid w:val="008E07B3"/>
    <w:rsid w:val="008E0A15"/>
    <w:rsid w:val="008E0B2A"/>
    <w:rsid w:val="008E1709"/>
    <w:rsid w:val="008E1D89"/>
    <w:rsid w:val="008E397C"/>
    <w:rsid w:val="008E3CD8"/>
    <w:rsid w:val="008E4239"/>
    <w:rsid w:val="008E428A"/>
    <w:rsid w:val="008E530C"/>
    <w:rsid w:val="008E54CB"/>
    <w:rsid w:val="008E59B7"/>
    <w:rsid w:val="008E59C5"/>
    <w:rsid w:val="008E5DD3"/>
    <w:rsid w:val="008E5FD6"/>
    <w:rsid w:val="008E660A"/>
    <w:rsid w:val="008E6DF7"/>
    <w:rsid w:val="008E704A"/>
    <w:rsid w:val="008E71E9"/>
    <w:rsid w:val="008E73E4"/>
    <w:rsid w:val="008E777A"/>
    <w:rsid w:val="008F0086"/>
    <w:rsid w:val="008F0E6A"/>
    <w:rsid w:val="008F0EFB"/>
    <w:rsid w:val="008F23FC"/>
    <w:rsid w:val="008F26E6"/>
    <w:rsid w:val="008F27B5"/>
    <w:rsid w:val="008F2C21"/>
    <w:rsid w:val="008F30A5"/>
    <w:rsid w:val="008F310D"/>
    <w:rsid w:val="008F337E"/>
    <w:rsid w:val="008F3659"/>
    <w:rsid w:val="008F3D99"/>
    <w:rsid w:val="008F43FD"/>
    <w:rsid w:val="008F46C7"/>
    <w:rsid w:val="008F4DD8"/>
    <w:rsid w:val="008F4FE9"/>
    <w:rsid w:val="008F553B"/>
    <w:rsid w:val="008F57D4"/>
    <w:rsid w:val="008F6432"/>
    <w:rsid w:val="008F684B"/>
    <w:rsid w:val="008F7165"/>
    <w:rsid w:val="008F7430"/>
    <w:rsid w:val="008F7674"/>
    <w:rsid w:val="0090043A"/>
    <w:rsid w:val="009004BB"/>
    <w:rsid w:val="009017AC"/>
    <w:rsid w:val="009018E4"/>
    <w:rsid w:val="00901B28"/>
    <w:rsid w:val="009028BE"/>
    <w:rsid w:val="00902BF9"/>
    <w:rsid w:val="00903298"/>
    <w:rsid w:val="009044EC"/>
    <w:rsid w:val="00904ABF"/>
    <w:rsid w:val="00905098"/>
    <w:rsid w:val="00905311"/>
    <w:rsid w:val="009056B9"/>
    <w:rsid w:val="00905B88"/>
    <w:rsid w:val="00905D88"/>
    <w:rsid w:val="0090670F"/>
    <w:rsid w:val="009068A0"/>
    <w:rsid w:val="00906CEE"/>
    <w:rsid w:val="00906EE0"/>
    <w:rsid w:val="0090711F"/>
    <w:rsid w:val="00907A12"/>
    <w:rsid w:val="00907E0D"/>
    <w:rsid w:val="0091007B"/>
    <w:rsid w:val="00910139"/>
    <w:rsid w:val="009101F8"/>
    <w:rsid w:val="00911089"/>
    <w:rsid w:val="009112DD"/>
    <w:rsid w:val="009112ED"/>
    <w:rsid w:val="009114CE"/>
    <w:rsid w:val="00911933"/>
    <w:rsid w:val="00911DBD"/>
    <w:rsid w:val="00912B44"/>
    <w:rsid w:val="00913103"/>
    <w:rsid w:val="0091337F"/>
    <w:rsid w:val="00914AD1"/>
    <w:rsid w:val="00914AE2"/>
    <w:rsid w:val="009151DB"/>
    <w:rsid w:val="0091569C"/>
    <w:rsid w:val="00915CC5"/>
    <w:rsid w:val="00916616"/>
    <w:rsid w:val="00917E8E"/>
    <w:rsid w:val="00920318"/>
    <w:rsid w:val="009203B4"/>
    <w:rsid w:val="00920647"/>
    <w:rsid w:val="009209F1"/>
    <w:rsid w:val="00920F4C"/>
    <w:rsid w:val="00921024"/>
    <w:rsid w:val="009211F7"/>
    <w:rsid w:val="0092180F"/>
    <w:rsid w:val="00921F10"/>
    <w:rsid w:val="009220AA"/>
    <w:rsid w:val="009226CE"/>
    <w:rsid w:val="00922FDA"/>
    <w:rsid w:val="0092325F"/>
    <w:rsid w:val="00924E8B"/>
    <w:rsid w:val="009254FA"/>
    <w:rsid w:val="009256E0"/>
    <w:rsid w:val="00925ADE"/>
    <w:rsid w:val="00925DC7"/>
    <w:rsid w:val="00926398"/>
    <w:rsid w:val="00926474"/>
    <w:rsid w:val="00926EEA"/>
    <w:rsid w:val="009278B6"/>
    <w:rsid w:val="00927D8C"/>
    <w:rsid w:val="00927DA7"/>
    <w:rsid w:val="00927F37"/>
    <w:rsid w:val="0093046B"/>
    <w:rsid w:val="00931B41"/>
    <w:rsid w:val="009320C9"/>
    <w:rsid w:val="00935047"/>
    <w:rsid w:val="00935BB8"/>
    <w:rsid w:val="00935E31"/>
    <w:rsid w:val="00935F69"/>
    <w:rsid w:val="00936033"/>
    <w:rsid w:val="00936B4B"/>
    <w:rsid w:val="00937687"/>
    <w:rsid w:val="00937BBC"/>
    <w:rsid w:val="00940B33"/>
    <w:rsid w:val="009411B3"/>
    <w:rsid w:val="00941D1C"/>
    <w:rsid w:val="00941DF1"/>
    <w:rsid w:val="0094208F"/>
    <w:rsid w:val="00942664"/>
    <w:rsid w:val="00942C30"/>
    <w:rsid w:val="00942F8C"/>
    <w:rsid w:val="00944116"/>
    <w:rsid w:val="009441B7"/>
    <w:rsid w:val="00944944"/>
    <w:rsid w:val="00944D00"/>
    <w:rsid w:val="00945304"/>
    <w:rsid w:val="00945323"/>
    <w:rsid w:val="00945827"/>
    <w:rsid w:val="00945AEA"/>
    <w:rsid w:val="00946C21"/>
    <w:rsid w:val="00946E7A"/>
    <w:rsid w:val="0094704E"/>
    <w:rsid w:val="009475BC"/>
    <w:rsid w:val="0095076E"/>
    <w:rsid w:val="00950838"/>
    <w:rsid w:val="00950FBD"/>
    <w:rsid w:val="00951FDB"/>
    <w:rsid w:val="00952353"/>
    <w:rsid w:val="00952775"/>
    <w:rsid w:val="00952799"/>
    <w:rsid w:val="00952A1D"/>
    <w:rsid w:val="00952AAF"/>
    <w:rsid w:val="0095583C"/>
    <w:rsid w:val="00955B0E"/>
    <w:rsid w:val="009567E4"/>
    <w:rsid w:val="00956CD0"/>
    <w:rsid w:val="0095727C"/>
    <w:rsid w:val="009574BC"/>
    <w:rsid w:val="009579CC"/>
    <w:rsid w:val="00957CDC"/>
    <w:rsid w:val="00960464"/>
    <w:rsid w:val="009606D0"/>
    <w:rsid w:val="009607D2"/>
    <w:rsid w:val="00960D29"/>
    <w:rsid w:val="00960E47"/>
    <w:rsid w:val="00960F7E"/>
    <w:rsid w:val="00961484"/>
    <w:rsid w:val="00961EAC"/>
    <w:rsid w:val="0096239E"/>
    <w:rsid w:val="00962C21"/>
    <w:rsid w:val="00962DE2"/>
    <w:rsid w:val="009641DF"/>
    <w:rsid w:val="009643A9"/>
    <w:rsid w:val="00964756"/>
    <w:rsid w:val="00964AFF"/>
    <w:rsid w:val="00964FEF"/>
    <w:rsid w:val="00965A81"/>
    <w:rsid w:val="00965C2F"/>
    <w:rsid w:val="00965FE4"/>
    <w:rsid w:val="0096677C"/>
    <w:rsid w:val="00967F77"/>
    <w:rsid w:val="00967F9B"/>
    <w:rsid w:val="00967FC9"/>
    <w:rsid w:val="00970444"/>
    <w:rsid w:val="009710D7"/>
    <w:rsid w:val="00971A23"/>
    <w:rsid w:val="00972D96"/>
    <w:rsid w:val="009744D9"/>
    <w:rsid w:val="00974888"/>
    <w:rsid w:val="009752C3"/>
    <w:rsid w:val="00975C8C"/>
    <w:rsid w:val="00975D02"/>
    <w:rsid w:val="00976773"/>
    <w:rsid w:val="00976824"/>
    <w:rsid w:val="00977376"/>
    <w:rsid w:val="009802CD"/>
    <w:rsid w:val="00980497"/>
    <w:rsid w:val="009806E9"/>
    <w:rsid w:val="009822AD"/>
    <w:rsid w:val="00982A7C"/>
    <w:rsid w:val="00982D58"/>
    <w:rsid w:val="009833DD"/>
    <w:rsid w:val="0098365D"/>
    <w:rsid w:val="00983859"/>
    <w:rsid w:val="00983A08"/>
    <w:rsid w:val="00983D13"/>
    <w:rsid w:val="00984C7D"/>
    <w:rsid w:val="00984F31"/>
    <w:rsid w:val="00985272"/>
    <w:rsid w:val="00985AEE"/>
    <w:rsid w:val="009872AA"/>
    <w:rsid w:val="0099032E"/>
    <w:rsid w:val="009903BE"/>
    <w:rsid w:val="009903DE"/>
    <w:rsid w:val="00990CEC"/>
    <w:rsid w:val="00991799"/>
    <w:rsid w:val="00991C1D"/>
    <w:rsid w:val="00991FB9"/>
    <w:rsid w:val="00992075"/>
    <w:rsid w:val="0099230E"/>
    <w:rsid w:val="00992A1D"/>
    <w:rsid w:val="00992D71"/>
    <w:rsid w:val="009932BC"/>
    <w:rsid w:val="00993810"/>
    <w:rsid w:val="00993B45"/>
    <w:rsid w:val="0099415C"/>
    <w:rsid w:val="00994B4F"/>
    <w:rsid w:val="00995BF3"/>
    <w:rsid w:val="00995C36"/>
    <w:rsid w:val="00995E1C"/>
    <w:rsid w:val="0099604B"/>
    <w:rsid w:val="009961D2"/>
    <w:rsid w:val="00996CD5"/>
    <w:rsid w:val="00996DCA"/>
    <w:rsid w:val="00996F2F"/>
    <w:rsid w:val="00997A19"/>
    <w:rsid w:val="00997F74"/>
    <w:rsid w:val="009A1C36"/>
    <w:rsid w:val="009A23CE"/>
    <w:rsid w:val="009A24AC"/>
    <w:rsid w:val="009A27DA"/>
    <w:rsid w:val="009A29A0"/>
    <w:rsid w:val="009A29AE"/>
    <w:rsid w:val="009A2D33"/>
    <w:rsid w:val="009A3BD9"/>
    <w:rsid w:val="009A3D56"/>
    <w:rsid w:val="009A3EF0"/>
    <w:rsid w:val="009A4133"/>
    <w:rsid w:val="009A470B"/>
    <w:rsid w:val="009A4C3C"/>
    <w:rsid w:val="009A4C61"/>
    <w:rsid w:val="009A4E86"/>
    <w:rsid w:val="009A5E78"/>
    <w:rsid w:val="009A73CB"/>
    <w:rsid w:val="009A7845"/>
    <w:rsid w:val="009B0F4B"/>
    <w:rsid w:val="009B2B36"/>
    <w:rsid w:val="009B2D27"/>
    <w:rsid w:val="009B49A1"/>
    <w:rsid w:val="009B6147"/>
    <w:rsid w:val="009B6662"/>
    <w:rsid w:val="009B6967"/>
    <w:rsid w:val="009B6B0C"/>
    <w:rsid w:val="009B728B"/>
    <w:rsid w:val="009B768C"/>
    <w:rsid w:val="009B7AFE"/>
    <w:rsid w:val="009B7D06"/>
    <w:rsid w:val="009B7D6F"/>
    <w:rsid w:val="009C128E"/>
    <w:rsid w:val="009C1F97"/>
    <w:rsid w:val="009C20B9"/>
    <w:rsid w:val="009C2B95"/>
    <w:rsid w:val="009C30A4"/>
    <w:rsid w:val="009C365D"/>
    <w:rsid w:val="009C39B7"/>
    <w:rsid w:val="009C3DFD"/>
    <w:rsid w:val="009C46D3"/>
    <w:rsid w:val="009C49CA"/>
    <w:rsid w:val="009C5A08"/>
    <w:rsid w:val="009C69C0"/>
    <w:rsid w:val="009C6CBB"/>
    <w:rsid w:val="009C6E21"/>
    <w:rsid w:val="009C6FE6"/>
    <w:rsid w:val="009C7711"/>
    <w:rsid w:val="009D0474"/>
    <w:rsid w:val="009D0588"/>
    <w:rsid w:val="009D06EC"/>
    <w:rsid w:val="009D13CA"/>
    <w:rsid w:val="009D1836"/>
    <w:rsid w:val="009D2470"/>
    <w:rsid w:val="009D25D1"/>
    <w:rsid w:val="009D2761"/>
    <w:rsid w:val="009D2C52"/>
    <w:rsid w:val="009D3136"/>
    <w:rsid w:val="009D475B"/>
    <w:rsid w:val="009D4CD2"/>
    <w:rsid w:val="009D53E2"/>
    <w:rsid w:val="009D56F1"/>
    <w:rsid w:val="009D667E"/>
    <w:rsid w:val="009D6CB8"/>
    <w:rsid w:val="009D76D4"/>
    <w:rsid w:val="009D7F56"/>
    <w:rsid w:val="009E03A1"/>
    <w:rsid w:val="009E06C9"/>
    <w:rsid w:val="009E08BE"/>
    <w:rsid w:val="009E0CEB"/>
    <w:rsid w:val="009E1B44"/>
    <w:rsid w:val="009E1E6E"/>
    <w:rsid w:val="009E1E9A"/>
    <w:rsid w:val="009E1F95"/>
    <w:rsid w:val="009E2144"/>
    <w:rsid w:val="009E25D9"/>
    <w:rsid w:val="009E25E3"/>
    <w:rsid w:val="009E2611"/>
    <w:rsid w:val="009E2760"/>
    <w:rsid w:val="009E2798"/>
    <w:rsid w:val="009E2D95"/>
    <w:rsid w:val="009E31D0"/>
    <w:rsid w:val="009E34A8"/>
    <w:rsid w:val="009E3A34"/>
    <w:rsid w:val="009E41BF"/>
    <w:rsid w:val="009E527F"/>
    <w:rsid w:val="009E54F0"/>
    <w:rsid w:val="009E5844"/>
    <w:rsid w:val="009E6135"/>
    <w:rsid w:val="009E6497"/>
    <w:rsid w:val="009E6EA5"/>
    <w:rsid w:val="009E702C"/>
    <w:rsid w:val="009E7849"/>
    <w:rsid w:val="009E79AC"/>
    <w:rsid w:val="009E7DE1"/>
    <w:rsid w:val="009F09C8"/>
    <w:rsid w:val="009F0E13"/>
    <w:rsid w:val="009F1162"/>
    <w:rsid w:val="009F11DA"/>
    <w:rsid w:val="009F192C"/>
    <w:rsid w:val="009F2171"/>
    <w:rsid w:val="009F22EA"/>
    <w:rsid w:val="009F2DAE"/>
    <w:rsid w:val="009F3012"/>
    <w:rsid w:val="009F3295"/>
    <w:rsid w:val="009F3DA0"/>
    <w:rsid w:val="009F46EC"/>
    <w:rsid w:val="009F49BE"/>
    <w:rsid w:val="009F4E75"/>
    <w:rsid w:val="009F548E"/>
    <w:rsid w:val="009F5750"/>
    <w:rsid w:val="009F5974"/>
    <w:rsid w:val="009F61D2"/>
    <w:rsid w:val="009F6269"/>
    <w:rsid w:val="009F6938"/>
    <w:rsid w:val="009F6F09"/>
    <w:rsid w:val="009F7817"/>
    <w:rsid w:val="009F7B63"/>
    <w:rsid w:val="009F7FC9"/>
    <w:rsid w:val="00A00194"/>
    <w:rsid w:val="00A0128D"/>
    <w:rsid w:val="00A01921"/>
    <w:rsid w:val="00A028F7"/>
    <w:rsid w:val="00A039E0"/>
    <w:rsid w:val="00A03C1B"/>
    <w:rsid w:val="00A04145"/>
    <w:rsid w:val="00A04C49"/>
    <w:rsid w:val="00A06B6A"/>
    <w:rsid w:val="00A06F4D"/>
    <w:rsid w:val="00A06F5A"/>
    <w:rsid w:val="00A07D06"/>
    <w:rsid w:val="00A101CD"/>
    <w:rsid w:val="00A10528"/>
    <w:rsid w:val="00A107A5"/>
    <w:rsid w:val="00A109EE"/>
    <w:rsid w:val="00A10B72"/>
    <w:rsid w:val="00A10D46"/>
    <w:rsid w:val="00A111E4"/>
    <w:rsid w:val="00A11775"/>
    <w:rsid w:val="00A125BD"/>
    <w:rsid w:val="00A131BC"/>
    <w:rsid w:val="00A13995"/>
    <w:rsid w:val="00A13BDE"/>
    <w:rsid w:val="00A143CB"/>
    <w:rsid w:val="00A14963"/>
    <w:rsid w:val="00A158AC"/>
    <w:rsid w:val="00A15AA1"/>
    <w:rsid w:val="00A1600D"/>
    <w:rsid w:val="00A16B8E"/>
    <w:rsid w:val="00A16CE2"/>
    <w:rsid w:val="00A174D1"/>
    <w:rsid w:val="00A176C2"/>
    <w:rsid w:val="00A17A34"/>
    <w:rsid w:val="00A17B6D"/>
    <w:rsid w:val="00A17BD2"/>
    <w:rsid w:val="00A17E8A"/>
    <w:rsid w:val="00A20B7D"/>
    <w:rsid w:val="00A215E0"/>
    <w:rsid w:val="00A21E89"/>
    <w:rsid w:val="00A21EBB"/>
    <w:rsid w:val="00A221EE"/>
    <w:rsid w:val="00A22921"/>
    <w:rsid w:val="00A22AC6"/>
    <w:rsid w:val="00A22B5D"/>
    <w:rsid w:val="00A22DDD"/>
    <w:rsid w:val="00A23CDA"/>
    <w:rsid w:val="00A23F3D"/>
    <w:rsid w:val="00A23F93"/>
    <w:rsid w:val="00A24290"/>
    <w:rsid w:val="00A245C8"/>
    <w:rsid w:val="00A2483B"/>
    <w:rsid w:val="00A2483D"/>
    <w:rsid w:val="00A24EF0"/>
    <w:rsid w:val="00A25A5B"/>
    <w:rsid w:val="00A264CA"/>
    <w:rsid w:val="00A26881"/>
    <w:rsid w:val="00A26891"/>
    <w:rsid w:val="00A278D8"/>
    <w:rsid w:val="00A310A4"/>
    <w:rsid w:val="00A31101"/>
    <w:rsid w:val="00A31AFB"/>
    <w:rsid w:val="00A320C2"/>
    <w:rsid w:val="00A332E0"/>
    <w:rsid w:val="00A33957"/>
    <w:rsid w:val="00A33C4B"/>
    <w:rsid w:val="00A33FCF"/>
    <w:rsid w:val="00A35501"/>
    <w:rsid w:val="00A363D4"/>
    <w:rsid w:val="00A37445"/>
    <w:rsid w:val="00A374F8"/>
    <w:rsid w:val="00A37529"/>
    <w:rsid w:val="00A37BA6"/>
    <w:rsid w:val="00A37E50"/>
    <w:rsid w:val="00A414E5"/>
    <w:rsid w:val="00A418DC"/>
    <w:rsid w:val="00A41C01"/>
    <w:rsid w:val="00A42336"/>
    <w:rsid w:val="00A42532"/>
    <w:rsid w:val="00A426A8"/>
    <w:rsid w:val="00A4402F"/>
    <w:rsid w:val="00A44213"/>
    <w:rsid w:val="00A4424F"/>
    <w:rsid w:val="00A452CA"/>
    <w:rsid w:val="00A4660D"/>
    <w:rsid w:val="00A46E1B"/>
    <w:rsid w:val="00A4700A"/>
    <w:rsid w:val="00A4714E"/>
    <w:rsid w:val="00A47AE2"/>
    <w:rsid w:val="00A47CF5"/>
    <w:rsid w:val="00A500A4"/>
    <w:rsid w:val="00A503FF"/>
    <w:rsid w:val="00A50C91"/>
    <w:rsid w:val="00A50F5B"/>
    <w:rsid w:val="00A513DA"/>
    <w:rsid w:val="00A51865"/>
    <w:rsid w:val="00A52FD4"/>
    <w:rsid w:val="00A537E5"/>
    <w:rsid w:val="00A53A08"/>
    <w:rsid w:val="00A54ACB"/>
    <w:rsid w:val="00A54C34"/>
    <w:rsid w:val="00A54FCF"/>
    <w:rsid w:val="00A55202"/>
    <w:rsid w:val="00A55755"/>
    <w:rsid w:val="00A56070"/>
    <w:rsid w:val="00A5643C"/>
    <w:rsid w:val="00A56C41"/>
    <w:rsid w:val="00A5707F"/>
    <w:rsid w:val="00A57A6A"/>
    <w:rsid w:val="00A60405"/>
    <w:rsid w:val="00A60961"/>
    <w:rsid w:val="00A60A1A"/>
    <w:rsid w:val="00A61229"/>
    <w:rsid w:val="00A61CE4"/>
    <w:rsid w:val="00A626DE"/>
    <w:rsid w:val="00A6332D"/>
    <w:rsid w:val="00A6347A"/>
    <w:rsid w:val="00A63D60"/>
    <w:rsid w:val="00A64840"/>
    <w:rsid w:val="00A6496B"/>
    <w:rsid w:val="00A65878"/>
    <w:rsid w:val="00A6589F"/>
    <w:rsid w:val="00A65D66"/>
    <w:rsid w:val="00A65F17"/>
    <w:rsid w:val="00A662E4"/>
    <w:rsid w:val="00A6655D"/>
    <w:rsid w:val="00A6657C"/>
    <w:rsid w:val="00A66B96"/>
    <w:rsid w:val="00A66D48"/>
    <w:rsid w:val="00A671A9"/>
    <w:rsid w:val="00A67482"/>
    <w:rsid w:val="00A674BD"/>
    <w:rsid w:val="00A67566"/>
    <w:rsid w:val="00A67851"/>
    <w:rsid w:val="00A67FEB"/>
    <w:rsid w:val="00A7098E"/>
    <w:rsid w:val="00A70CAC"/>
    <w:rsid w:val="00A70DDD"/>
    <w:rsid w:val="00A71223"/>
    <w:rsid w:val="00A71266"/>
    <w:rsid w:val="00A72EBB"/>
    <w:rsid w:val="00A730FC"/>
    <w:rsid w:val="00A73DDF"/>
    <w:rsid w:val="00A73E33"/>
    <w:rsid w:val="00A74B82"/>
    <w:rsid w:val="00A74E43"/>
    <w:rsid w:val="00A7521A"/>
    <w:rsid w:val="00A754C9"/>
    <w:rsid w:val="00A75B91"/>
    <w:rsid w:val="00A75ED8"/>
    <w:rsid w:val="00A75EDD"/>
    <w:rsid w:val="00A77A90"/>
    <w:rsid w:val="00A77CF3"/>
    <w:rsid w:val="00A8059F"/>
    <w:rsid w:val="00A81418"/>
    <w:rsid w:val="00A818FC"/>
    <w:rsid w:val="00A822A3"/>
    <w:rsid w:val="00A823B4"/>
    <w:rsid w:val="00A8280B"/>
    <w:rsid w:val="00A832EC"/>
    <w:rsid w:val="00A83885"/>
    <w:rsid w:val="00A83B6D"/>
    <w:rsid w:val="00A841E4"/>
    <w:rsid w:val="00A8442F"/>
    <w:rsid w:val="00A845C7"/>
    <w:rsid w:val="00A8469C"/>
    <w:rsid w:val="00A84802"/>
    <w:rsid w:val="00A85685"/>
    <w:rsid w:val="00A857F1"/>
    <w:rsid w:val="00A85A5A"/>
    <w:rsid w:val="00A86665"/>
    <w:rsid w:val="00A87388"/>
    <w:rsid w:val="00A87A7F"/>
    <w:rsid w:val="00A87ECC"/>
    <w:rsid w:val="00A90613"/>
    <w:rsid w:val="00A91591"/>
    <w:rsid w:val="00A91A78"/>
    <w:rsid w:val="00A92F3E"/>
    <w:rsid w:val="00A93387"/>
    <w:rsid w:val="00A933CD"/>
    <w:rsid w:val="00A9371B"/>
    <w:rsid w:val="00A93A86"/>
    <w:rsid w:val="00A93DEA"/>
    <w:rsid w:val="00A94F3A"/>
    <w:rsid w:val="00A95B75"/>
    <w:rsid w:val="00A95DE0"/>
    <w:rsid w:val="00A95EAC"/>
    <w:rsid w:val="00A9610B"/>
    <w:rsid w:val="00A962F1"/>
    <w:rsid w:val="00A967BB"/>
    <w:rsid w:val="00A96E15"/>
    <w:rsid w:val="00A97564"/>
    <w:rsid w:val="00A97A21"/>
    <w:rsid w:val="00A97DE7"/>
    <w:rsid w:val="00AA02CC"/>
    <w:rsid w:val="00AA0A8D"/>
    <w:rsid w:val="00AA0C22"/>
    <w:rsid w:val="00AA1059"/>
    <w:rsid w:val="00AA11E6"/>
    <w:rsid w:val="00AA2A4E"/>
    <w:rsid w:val="00AA2C6A"/>
    <w:rsid w:val="00AA4431"/>
    <w:rsid w:val="00AA58D6"/>
    <w:rsid w:val="00AA5A98"/>
    <w:rsid w:val="00AA5E3A"/>
    <w:rsid w:val="00AA68E5"/>
    <w:rsid w:val="00AA6C70"/>
    <w:rsid w:val="00AA7230"/>
    <w:rsid w:val="00AA7324"/>
    <w:rsid w:val="00AA7E39"/>
    <w:rsid w:val="00AA7F86"/>
    <w:rsid w:val="00AB02F0"/>
    <w:rsid w:val="00AB1FD8"/>
    <w:rsid w:val="00AB2216"/>
    <w:rsid w:val="00AB241A"/>
    <w:rsid w:val="00AB2AC6"/>
    <w:rsid w:val="00AB3FC6"/>
    <w:rsid w:val="00AB452F"/>
    <w:rsid w:val="00AB4660"/>
    <w:rsid w:val="00AB4FED"/>
    <w:rsid w:val="00AB533B"/>
    <w:rsid w:val="00AB5C17"/>
    <w:rsid w:val="00AB5F9E"/>
    <w:rsid w:val="00AB608E"/>
    <w:rsid w:val="00AB7724"/>
    <w:rsid w:val="00AB7881"/>
    <w:rsid w:val="00AC00B4"/>
    <w:rsid w:val="00AC0863"/>
    <w:rsid w:val="00AC0A12"/>
    <w:rsid w:val="00AC0A4A"/>
    <w:rsid w:val="00AC1AEA"/>
    <w:rsid w:val="00AC2577"/>
    <w:rsid w:val="00AC2867"/>
    <w:rsid w:val="00AC3110"/>
    <w:rsid w:val="00AC3231"/>
    <w:rsid w:val="00AC3C69"/>
    <w:rsid w:val="00AC4BFF"/>
    <w:rsid w:val="00AC7119"/>
    <w:rsid w:val="00AC733C"/>
    <w:rsid w:val="00AC742B"/>
    <w:rsid w:val="00AC7487"/>
    <w:rsid w:val="00AC77AD"/>
    <w:rsid w:val="00AC7B88"/>
    <w:rsid w:val="00AC7D7C"/>
    <w:rsid w:val="00AD09C0"/>
    <w:rsid w:val="00AD0BDB"/>
    <w:rsid w:val="00AD0CDB"/>
    <w:rsid w:val="00AD1904"/>
    <w:rsid w:val="00AD1A3D"/>
    <w:rsid w:val="00AD1A82"/>
    <w:rsid w:val="00AD205B"/>
    <w:rsid w:val="00AD35A7"/>
    <w:rsid w:val="00AD53F1"/>
    <w:rsid w:val="00AD583F"/>
    <w:rsid w:val="00AD5A1C"/>
    <w:rsid w:val="00AD6377"/>
    <w:rsid w:val="00AD6946"/>
    <w:rsid w:val="00AD69FC"/>
    <w:rsid w:val="00AE02CF"/>
    <w:rsid w:val="00AE0A1E"/>
    <w:rsid w:val="00AE0E76"/>
    <w:rsid w:val="00AE0F19"/>
    <w:rsid w:val="00AE1C36"/>
    <w:rsid w:val="00AE24D0"/>
    <w:rsid w:val="00AE3075"/>
    <w:rsid w:val="00AE435E"/>
    <w:rsid w:val="00AE4B06"/>
    <w:rsid w:val="00AE4C17"/>
    <w:rsid w:val="00AE4F21"/>
    <w:rsid w:val="00AE581C"/>
    <w:rsid w:val="00AE676E"/>
    <w:rsid w:val="00AE687D"/>
    <w:rsid w:val="00AE6906"/>
    <w:rsid w:val="00AE6AB6"/>
    <w:rsid w:val="00AE713E"/>
    <w:rsid w:val="00AE73A1"/>
    <w:rsid w:val="00AE781E"/>
    <w:rsid w:val="00AE7B2C"/>
    <w:rsid w:val="00AF0557"/>
    <w:rsid w:val="00AF090E"/>
    <w:rsid w:val="00AF124A"/>
    <w:rsid w:val="00AF152B"/>
    <w:rsid w:val="00AF1538"/>
    <w:rsid w:val="00AF1688"/>
    <w:rsid w:val="00AF1C68"/>
    <w:rsid w:val="00AF1EF7"/>
    <w:rsid w:val="00AF24CC"/>
    <w:rsid w:val="00AF24E6"/>
    <w:rsid w:val="00AF2909"/>
    <w:rsid w:val="00AF2D5D"/>
    <w:rsid w:val="00AF4A34"/>
    <w:rsid w:val="00AF4B44"/>
    <w:rsid w:val="00AF6105"/>
    <w:rsid w:val="00AF641D"/>
    <w:rsid w:val="00B00CC9"/>
    <w:rsid w:val="00B019FE"/>
    <w:rsid w:val="00B020E6"/>
    <w:rsid w:val="00B025AE"/>
    <w:rsid w:val="00B02EDA"/>
    <w:rsid w:val="00B0302C"/>
    <w:rsid w:val="00B03174"/>
    <w:rsid w:val="00B03558"/>
    <w:rsid w:val="00B044AE"/>
    <w:rsid w:val="00B044F1"/>
    <w:rsid w:val="00B04ABA"/>
    <w:rsid w:val="00B052E6"/>
    <w:rsid w:val="00B05C59"/>
    <w:rsid w:val="00B05E5F"/>
    <w:rsid w:val="00B063EA"/>
    <w:rsid w:val="00B06413"/>
    <w:rsid w:val="00B06B7D"/>
    <w:rsid w:val="00B06EB2"/>
    <w:rsid w:val="00B071E5"/>
    <w:rsid w:val="00B10CAB"/>
    <w:rsid w:val="00B110A0"/>
    <w:rsid w:val="00B11107"/>
    <w:rsid w:val="00B118A1"/>
    <w:rsid w:val="00B1306B"/>
    <w:rsid w:val="00B13095"/>
    <w:rsid w:val="00B13112"/>
    <w:rsid w:val="00B1328F"/>
    <w:rsid w:val="00B136B2"/>
    <w:rsid w:val="00B13783"/>
    <w:rsid w:val="00B138FB"/>
    <w:rsid w:val="00B140C9"/>
    <w:rsid w:val="00B1410E"/>
    <w:rsid w:val="00B141B3"/>
    <w:rsid w:val="00B1429C"/>
    <w:rsid w:val="00B14B09"/>
    <w:rsid w:val="00B1596A"/>
    <w:rsid w:val="00B16162"/>
    <w:rsid w:val="00B168D7"/>
    <w:rsid w:val="00B16D22"/>
    <w:rsid w:val="00B17018"/>
    <w:rsid w:val="00B17364"/>
    <w:rsid w:val="00B17A54"/>
    <w:rsid w:val="00B17AE5"/>
    <w:rsid w:val="00B17B46"/>
    <w:rsid w:val="00B17F8A"/>
    <w:rsid w:val="00B20233"/>
    <w:rsid w:val="00B20383"/>
    <w:rsid w:val="00B207DC"/>
    <w:rsid w:val="00B208AE"/>
    <w:rsid w:val="00B2111A"/>
    <w:rsid w:val="00B213FE"/>
    <w:rsid w:val="00B22173"/>
    <w:rsid w:val="00B2294C"/>
    <w:rsid w:val="00B22982"/>
    <w:rsid w:val="00B22ECA"/>
    <w:rsid w:val="00B23355"/>
    <w:rsid w:val="00B257B9"/>
    <w:rsid w:val="00B274A2"/>
    <w:rsid w:val="00B304C6"/>
    <w:rsid w:val="00B30615"/>
    <w:rsid w:val="00B30696"/>
    <w:rsid w:val="00B309BA"/>
    <w:rsid w:val="00B31676"/>
    <w:rsid w:val="00B31727"/>
    <w:rsid w:val="00B318E6"/>
    <w:rsid w:val="00B325A3"/>
    <w:rsid w:val="00B34515"/>
    <w:rsid w:val="00B34689"/>
    <w:rsid w:val="00B352BF"/>
    <w:rsid w:val="00B3579F"/>
    <w:rsid w:val="00B37083"/>
    <w:rsid w:val="00B3743B"/>
    <w:rsid w:val="00B374B4"/>
    <w:rsid w:val="00B378A8"/>
    <w:rsid w:val="00B4063F"/>
    <w:rsid w:val="00B40B14"/>
    <w:rsid w:val="00B40CD1"/>
    <w:rsid w:val="00B4208A"/>
    <w:rsid w:val="00B428C4"/>
    <w:rsid w:val="00B42EDD"/>
    <w:rsid w:val="00B42EDE"/>
    <w:rsid w:val="00B43878"/>
    <w:rsid w:val="00B43FE8"/>
    <w:rsid w:val="00B44178"/>
    <w:rsid w:val="00B44719"/>
    <w:rsid w:val="00B44A1E"/>
    <w:rsid w:val="00B4607B"/>
    <w:rsid w:val="00B47A89"/>
    <w:rsid w:val="00B47AA4"/>
    <w:rsid w:val="00B47E19"/>
    <w:rsid w:val="00B50910"/>
    <w:rsid w:val="00B519CF"/>
    <w:rsid w:val="00B52160"/>
    <w:rsid w:val="00B525F7"/>
    <w:rsid w:val="00B528BD"/>
    <w:rsid w:val="00B52A59"/>
    <w:rsid w:val="00B52AFD"/>
    <w:rsid w:val="00B52D5A"/>
    <w:rsid w:val="00B52E34"/>
    <w:rsid w:val="00B531C5"/>
    <w:rsid w:val="00B5399A"/>
    <w:rsid w:val="00B540A4"/>
    <w:rsid w:val="00B54392"/>
    <w:rsid w:val="00B54565"/>
    <w:rsid w:val="00B545B0"/>
    <w:rsid w:val="00B5483A"/>
    <w:rsid w:val="00B54B13"/>
    <w:rsid w:val="00B54BB2"/>
    <w:rsid w:val="00B5505F"/>
    <w:rsid w:val="00B55231"/>
    <w:rsid w:val="00B57137"/>
    <w:rsid w:val="00B57D13"/>
    <w:rsid w:val="00B57D5E"/>
    <w:rsid w:val="00B57EDF"/>
    <w:rsid w:val="00B57FFA"/>
    <w:rsid w:val="00B60664"/>
    <w:rsid w:val="00B61687"/>
    <w:rsid w:val="00B61B9F"/>
    <w:rsid w:val="00B61FCD"/>
    <w:rsid w:val="00B64AD3"/>
    <w:rsid w:val="00B64D2B"/>
    <w:rsid w:val="00B64FCA"/>
    <w:rsid w:val="00B65A6B"/>
    <w:rsid w:val="00B66A93"/>
    <w:rsid w:val="00B6730E"/>
    <w:rsid w:val="00B6785B"/>
    <w:rsid w:val="00B67962"/>
    <w:rsid w:val="00B67D47"/>
    <w:rsid w:val="00B70515"/>
    <w:rsid w:val="00B716C6"/>
    <w:rsid w:val="00B7173D"/>
    <w:rsid w:val="00B73616"/>
    <w:rsid w:val="00B73BA9"/>
    <w:rsid w:val="00B73E0E"/>
    <w:rsid w:val="00B746C7"/>
    <w:rsid w:val="00B74A46"/>
    <w:rsid w:val="00B74A73"/>
    <w:rsid w:val="00B7534D"/>
    <w:rsid w:val="00B756EC"/>
    <w:rsid w:val="00B767B7"/>
    <w:rsid w:val="00B77084"/>
    <w:rsid w:val="00B77206"/>
    <w:rsid w:val="00B7763A"/>
    <w:rsid w:val="00B77E1E"/>
    <w:rsid w:val="00B800B4"/>
    <w:rsid w:val="00B8077F"/>
    <w:rsid w:val="00B80862"/>
    <w:rsid w:val="00B825F7"/>
    <w:rsid w:val="00B82908"/>
    <w:rsid w:val="00B831DC"/>
    <w:rsid w:val="00B84997"/>
    <w:rsid w:val="00B85F10"/>
    <w:rsid w:val="00B86168"/>
    <w:rsid w:val="00B87213"/>
    <w:rsid w:val="00B8744B"/>
    <w:rsid w:val="00B87D99"/>
    <w:rsid w:val="00B90177"/>
    <w:rsid w:val="00B9164C"/>
    <w:rsid w:val="00B91B01"/>
    <w:rsid w:val="00B927F4"/>
    <w:rsid w:val="00B9291E"/>
    <w:rsid w:val="00B93745"/>
    <w:rsid w:val="00B93BE0"/>
    <w:rsid w:val="00B9424C"/>
    <w:rsid w:val="00B948A4"/>
    <w:rsid w:val="00B94B51"/>
    <w:rsid w:val="00B9507B"/>
    <w:rsid w:val="00B950D8"/>
    <w:rsid w:val="00B95518"/>
    <w:rsid w:val="00B95B9E"/>
    <w:rsid w:val="00B96910"/>
    <w:rsid w:val="00B97183"/>
    <w:rsid w:val="00B97B82"/>
    <w:rsid w:val="00BA007D"/>
    <w:rsid w:val="00BA0E1D"/>
    <w:rsid w:val="00BA0EF8"/>
    <w:rsid w:val="00BA1C99"/>
    <w:rsid w:val="00BA1F7D"/>
    <w:rsid w:val="00BA278B"/>
    <w:rsid w:val="00BA2805"/>
    <w:rsid w:val="00BA315C"/>
    <w:rsid w:val="00BA43B9"/>
    <w:rsid w:val="00BA494D"/>
    <w:rsid w:val="00BA61B1"/>
    <w:rsid w:val="00BB006F"/>
    <w:rsid w:val="00BB0205"/>
    <w:rsid w:val="00BB0784"/>
    <w:rsid w:val="00BB09E0"/>
    <w:rsid w:val="00BB0BA3"/>
    <w:rsid w:val="00BB116F"/>
    <w:rsid w:val="00BB1217"/>
    <w:rsid w:val="00BB14E8"/>
    <w:rsid w:val="00BB204F"/>
    <w:rsid w:val="00BB26AA"/>
    <w:rsid w:val="00BB3315"/>
    <w:rsid w:val="00BB36FA"/>
    <w:rsid w:val="00BB3ABC"/>
    <w:rsid w:val="00BB3AF5"/>
    <w:rsid w:val="00BB3B84"/>
    <w:rsid w:val="00BB3D81"/>
    <w:rsid w:val="00BB425D"/>
    <w:rsid w:val="00BB482D"/>
    <w:rsid w:val="00BB55EE"/>
    <w:rsid w:val="00BB5A6A"/>
    <w:rsid w:val="00BB688E"/>
    <w:rsid w:val="00BB705D"/>
    <w:rsid w:val="00BB7F2D"/>
    <w:rsid w:val="00BC00C8"/>
    <w:rsid w:val="00BC099E"/>
    <w:rsid w:val="00BC0A33"/>
    <w:rsid w:val="00BC19F6"/>
    <w:rsid w:val="00BC201E"/>
    <w:rsid w:val="00BC2883"/>
    <w:rsid w:val="00BC2AAD"/>
    <w:rsid w:val="00BC3D06"/>
    <w:rsid w:val="00BC4165"/>
    <w:rsid w:val="00BC46A6"/>
    <w:rsid w:val="00BC4F2B"/>
    <w:rsid w:val="00BC5130"/>
    <w:rsid w:val="00BC5B94"/>
    <w:rsid w:val="00BC60CB"/>
    <w:rsid w:val="00BC7EC8"/>
    <w:rsid w:val="00BD01C9"/>
    <w:rsid w:val="00BD0377"/>
    <w:rsid w:val="00BD047E"/>
    <w:rsid w:val="00BD10BD"/>
    <w:rsid w:val="00BD15F3"/>
    <w:rsid w:val="00BD1894"/>
    <w:rsid w:val="00BD2070"/>
    <w:rsid w:val="00BD2393"/>
    <w:rsid w:val="00BD23BF"/>
    <w:rsid w:val="00BD2EE5"/>
    <w:rsid w:val="00BD3753"/>
    <w:rsid w:val="00BD3FFB"/>
    <w:rsid w:val="00BD42EE"/>
    <w:rsid w:val="00BD45B0"/>
    <w:rsid w:val="00BD4C04"/>
    <w:rsid w:val="00BD4EE4"/>
    <w:rsid w:val="00BD53B0"/>
    <w:rsid w:val="00BD560E"/>
    <w:rsid w:val="00BD5F3B"/>
    <w:rsid w:val="00BD7A00"/>
    <w:rsid w:val="00BD7AAA"/>
    <w:rsid w:val="00BE06E0"/>
    <w:rsid w:val="00BE0780"/>
    <w:rsid w:val="00BE0C85"/>
    <w:rsid w:val="00BE156C"/>
    <w:rsid w:val="00BE297D"/>
    <w:rsid w:val="00BE2F0B"/>
    <w:rsid w:val="00BE36E7"/>
    <w:rsid w:val="00BE3855"/>
    <w:rsid w:val="00BE3BAA"/>
    <w:rsid w:val="00BE4884"/>
    <w:rsid w:val="00BE4BA5"/>
    <w:rsid w:val="00BE52BE"/>
    <w:rsid w:val="00BE596F"/>
    <w:rsid w:val="00BE5AF4"/>
    <w:rsid w:val="00BE61F3"/>
    <w:rsid w:val="00BE6BF9"/>
    <w:rsid w:val="00BE6EE4"/>
    <w:rsid w:val="00BE7580"/>
    <w:rsid w:val="00BE7F97"/>
    <w:rsid w:val="00BF0306"/>
    <w:rsid w:val="00BF181B"/>
    <w:rsid w:val="00BF21F8"/>
    <w:rsid w:val="00BF27B8"/>
    <w:rsid w:val="00BF29CE"/>
    <w:rsid w:val="00BF3436"/>
    <w:rsid w:val="00BF348E"/>
    <w:rsid w:val="00BF3ED8"/>
    <w:rsid w:val="00BF407C"/>
    <w:rsid w:val="00BF43F8"/>
    <w:rsid w:val="00BF4AFA"/>
    <w:rsid w:val="00BF563E"/>
    <w:rsid w:val="00BF6CE3"/>
    <w:rsid w:val="00BF7031"/>
    <w:rsid w:val="00BF7D65"/>
    <w:rsid w:val="00C00157"/>
    <w:rsid w:val="00C00222"/>
    <w:rsid w:val="00C00529"/>
    <w:rsid w:val="00C00652"/>
    <w:rsid w:val="00C02186"/>
    <w:rsid w:val="00C023DA"/>
    <w:rsid w:val="00C0317C"/>
    <w:rsid w:val="00C032D8"/>
    <w:rsid w:val="00C0375F"/>
    <w:rsid w:val="00C039D9"/>
    <w:rsid w:val="00C04281"/>
    <w:rsid w:val="00C055FB"/>
    <w:rsid w:val="00C0618B"/>
    <w:rsid w:val="00C07676"/>
    <w:rsid w:val="00C10AE0"/>
    <w:rsid w:val="00C10EB2"/>
    <w:rsid w:val="00C1100B"/>
    <w:rsid w:val="00C11070"/>
    <w:rsid w:val="00C11CA0"/>
    <w:rsid w:val="00C122A5"/>
    <w:rsid w:val="00C12BF9"/>
    <w:rsid w:val="00C1375C"/>
    <w:rsid w:val="00C13943"/>
    <w:rsid w:val="00C13A59"/>
    <w:rsid w:val="00C13DA1"/>
    <w:rsid w:val="00C13FC3"/>
    <w:rsid w:val="00C142F8"/>
    <w:rsid w:val="00C146F8"/>
    <w:rsid w:val="00C14797"/>
    <w:rsid w:val="00C14A97"/>
    <w:rsid w:val="00C15981"/>
    <w:rsid w:val="00C15BAC"/>
    <w:rsid w:val="00C15F16"/>
    <w:rsid w:val="00C16B04"/>
    <w:rsid w:val="00C16BA3"/>
    <w:rsid w:val="00C17052"/>
    <w:rsid w:val="00C1759C"/>
    <w:rsid w:val="00C175A3"/>
    <w:rsid w:val="00C1774B"/>
    <w:rsid w:val="00C20958"/>
    <w:rsid w:val="00C20BE9"/>
    <w:rsid w:val="00C20CB0"/>
    <w:rsid w:val="00C21339"/>
    <w:rsid w:val="00C21762"/>
    <w:rsid w:val="00C218F0"/>
    <w:rsid w:val="00C21A25"/>
    <w:rsid w:val="00C2202B"/>
    <w:rsid w:val="00C2215D"/>
    <w:rsid w:val="00C22330"/>
    <w:rsid w:val="00C2269D"/>
    <w:rsid w:val="00C22C10"/>
    <w:rsid w:val="00C24027"/>
    <w:rsid w:val="00C246A7"/>
    <w:rsid w:val="00C2473B"/>
    <w:rsid w:val="00C247EB"/>
    <w:rsid w:val="00C255FB"/>
    <w:rsid w:val="00C25A38"/>
    <w:rsid w:val="00C25B0D"/>
    <w:rsid w:val="00C26AED"/>
    <w:rsid w:val="00C26BB9"/>
    <w:rsid w:val="00C30992"/>
    <w:rsid w:val="00C30F1D"/>
    <w:rsid w:val="00C31260"/>
    <w:rsid w:val="00C31440"/>
    <w:rsid w:val="00C31704"/>
    <w:rsid w:val="00C31808"/>
    <w:rsid w:val="00C320DB"/>
    <w:rsid w:val="00C32FC3"/>
    <w:rsid w:val="00C33FFE"/>
    <w:rsid w:val="00C34CB2"/>
    <w:rsid w:val="00C34E0B"/>
    <w:rsid w:val="00C35277"/>
    <w:rsid w:val="00C35379"/>
    <w:rsid w:val="00C354E1"/>
    <w:rsid w:val="00C355C9"/>
    <w:rsid w:val="00C356AF"/>
    <w:rsid w:val="00C3576E"/>
    <w:rsid w:val="00C35B08"/>
    <w:rsid w:val="00C3617F"/>
    <w:rsid w:val="00C36A6A"/>
    <w:rsid w:val="00C37638"/>
    <w:rsid w:val="00C37978"/>
    <w:rsid w:val="00C37A5C"/>
    <w:rsid w:val="00C40ADA"/>
    <w:rsid w:val="00C41442"/>
    <w:rsid w:val="00C414D8"/>
    <w:rsid w:val="00C426C9"/>
    <w:rsid w:val="00C42DA6"/>
    <w:rsid w:val="00C43008"/>
    <w:rsid w:val="00C4392A"/>
    <w:rsid w:val="00C44077"/>
    <w:rsid w:val="00C45328"/>
    <w:rsid w:val="00C4545D"/>
    <w:rsid w:val="00C45E96"/>
    <w:rsid w:val="00C46C54"/>
    <w:rsid w:val="00C46E75"/>
    <w:rsid w:val="00C4720D"/>
    <w:rsid w:val="00C47BB1"/>
    <w:rsid w:val="00C47E56"/>
    <w:rsid w:val="00C47F15"/>
    <w:rsid w:val="00C508EB"/>
    <w:rsid w:val="00C50A1D"/>
    <w:rsid w:val="00C50EA6"/>
    <w:rsid w:val="00C51CF6"/>
    <w:rsid w:val="00C52396"/>
    <w:rsid w:val="00C52718"/>
    <w:rsid w:val="00C53C31"/>
    <w:rsid w:val="00C542FF"/>
    <w:rsid w:val="00C54336"/>
    <w:rsid w:val="00C543B4"/>
    <w:rsid w:val="00C547BB"/>
    <w:rsid w:val="00C548F8"/>
    <w:rsid w:val="00C556DB"/>
    <w:rsid w:val="00C55714"/>
    <w:rsid w:val="00C55799"/>
    <w:rsid w:val="00C560BF"/>
    <w:rsid w:val="00C56613"/>
    <w:rsid w:val="00C56C94"/>
    <w:rsid w:val="00C57182"/>
    <w:rsid w:val="00C57302"/>
    <w:rsid w:val="00C5755D"/>
    <w:rsid w:val="00C600B8"/>
    <w:rsid w:val="00C6057C"/>
    <w:rsid w:val="00C60F69"/>
    <w:rsid w:val="00C61A9E"/>
    <w:rsid w:val="00C61F4F"/>
    <w:rsid w:val="00C61F6B"/>
    <w:rsid w:val="00C63C5D"/>
    <w:rsid w:val="00C63F40"/>
    <w:rsid w:val="00C64802"/>
    <w:rsid w:val="00C65057"/>
    <w:rsid w:val="00C65181"/>
    <w:rsid w:val="00C65CDC"/>
    <w:rsid w:val="00C660A4"/>
    <w:rsid w:val="00C66190"/>
    <w:rsid w:val="00C66757"/>
    <w:rsid w:val="00C667E1"/>
    <w:rsid w:val="00C66ADD"/>
    <w:rsid w:val="00C6748C"/>
    <w:rsid w:val="00C67921"/>
    <w:rsid w:val="00C7051B"/>
    <w:rsid w:val="00C71644"/>
    <w:rsid w:val="00C71B17"/>
    <w:rsid w:val="00C71BAA"/>
    <w:rsid w:val="00C72125"/>
    <w:rsid w:val="00C72BD0"/>
    <w:rsid w:val="00C73056"/>
    <w:rsid w:val="00C74869"/>
    <w:rsid w:val="00C75854"/>
    <w:rsid w:val="00C75FC6"/>
    <w:rsid w:val="00C76304"/>
    <w:rsid w:val="00C77D15"/>
    <w:rsid w:val="00C80D17"/>
    <w:rsid w:val="00C80E06"/>
    <w:rsid w:val="00C81EF8"/>
    <w:rsid w:val="00C82325"/>
    <w:rsid w:val="00C8263C"/>
    <w:rsid w:val="00C831E0"/>
    <w:rsid w:val="00C83F90"/>
    <w:rsid w:val="00C8447D"/>
    <w:rsid w:val="00C847BC"/>
    <w:rsid w:val="00C8495B"/>
    <w:rsid w:val="00C852CB"/>
    <w:rsid w:val="00C8582E"/>
    <w:rsid w:val="00C85E90"/>
    <w:rsid w:val="00C85EFA"/>
    <w:rsid w:val="00C86581"/>
    <w:rsid w:val="00C86940"/>
    <w:rsid w:val="00C86B77"/>
    <w:rsid w:val="00C86FA6"/>
    <w:rsid w:val="00C87050"/>
    <w:rsid w:val="00C878C5"/>
    <w:rsid w:val="00C87F98"/>
    <w:rsid w:val="00C90856"/>
    <w:rsid w:val="00C90FB6"/>
    <w:rsid w:val="00C915F4"/>
    <w:rsid w:val="00C9192C"/>
    <w:rsid w:val="00C9279B"/>
    <w:rsid w:val="00C927F3"/>
    <w:rsid w:val="00C928D9"/>
    <w:rsid w:val="00C92C11"/>
    <w:rsid w:val="00C9438F"/>
    <w:rsid w:val="00C947D1"/>
    <w:rsid w:val="00C94838"/>
    <w:rsid w:val="00C95C11"/>
    <w:rsid w:val="00C96BB6"/>
    <w:rsid w:val="00C970D4"/>
    <w:rsid w:val="00C975BC"/>
    <w:rsid w:val="00CA0AC3"/>
    <w:rsid w:val="00CA2A51"/>
    <w:rsid w:val="00CA2A87"/>
    <w:rsid w:val="00CA3302"/>
    <w:rsid w:val="00CA35B8"/>
    <w:rsid w:val="00CA36D2"/>
    <w:rsid w:val="00CA3EEC"/>
    <w:rsid w:val="00CA411D"/>
    <w:rsid w:val="00CA45DB"/>
    <w:rsid w:val="00CA4813"/>
    <w:rsid w:val="00CA4C3F"/>
    <w:rsid w:val="00CA5E3E"/>
    <w:rsid w:val="00CA5E92"/>
    <w:rsid w:val="00CA6048"/>
    <w:rsid w:val="00CA650A"/>
    <w:rsid w:val="00CA673E"/>
    <w:rsid w:val="00CA6B45"/>
    <w:rsid w:val="00CA7826"/>
    <w:rsid w:val="00CB23AD"/>
    <w:rsid w:val="00CB33BA"/>
    <w:rsid w:val="00CB37C2"/>
    <w:rsid w:val="00CB461A"/>
    <w:rsid w:val="00CB4A91"/>
    <w:rsid w:val="00CB5519"/>
    <w:rsid w:val="00CB6118"/>
    <w:rsid w:val="00CB6660"/>
    <w:rsid w:val="00CB69FB"/>
    <w:rsid w:val="00CB6CA7"/>
    <w:rsid w:val="00CB732A"/>
    <w:rsid w:val="00CB76EF"/>
    <w:rsid w:val="00CB78AD"/>
    <w:rsid w:val="00CB78FE"/>
    <w:rsid w:val="00CB7C69"/>
    <w:rsid w:val="00CC007F"/>
    <w:rsid w:val="00CC023E"/>
    <w:rsid w:val="00CC0979"/>
    <w:rsid w:val="00CC0FA6"/>
    <w:rsid w:val="00CC18D3"/>
    <w:rsid w:val="00CC19C7"/>
    <w:rsid w:val="00CC296B"/>
    <w:rsid w:val="00CC3642"/>
    <w:rsid w:val="00CC42C7"/>
    <w:rsid w:val="00CC4882"/>
    <w:rsid w:val="00CC4C83"/>
    <w:rsid w:val="00CC4FA6"/>
    <w:rsid w:val="00CC5489"/>
    <w:rsid w:val="00CC5E1C"/>
    <w:rsid w:val="00CC604A"/>
    <w:rsid w:val="00CC6AA3"/>
    <w:rsid w:val="00CC6DA0"/>
    <w:rsid w:val="00CC6DDE"/>
    <w:rsid w:val="00CC6FB5"/>
    <w:rsid w:val="00CC75C4"/>
    <w:rsid w:val="00CD0058"/>
    <w:rsid w:val="00CD11BD"/>
    <w:rsid w:val="00CD1819"/>
    <w:rsid w:val="00CD1BEB"/>
    <w:rsid w:val="00CD212F"/>
    <w:rsid w:val="00CD22BA"/>
    <w:rsid w:val="00CD2685"/>
    <w:rsid w:val="00CD27DD"/>
    <w:rsid w:val="00CD2CB5"/>
    <w:rsid w:val="00CD3208"/>
    <w:rsid w:val="00CD3405"/>
    <w:rsid w:val="00CD368F"/>
    <w:rsid w:val="00CD3751"/>
    <w:rsid w:val="00CD469A"/>
    <w:rsid w:val="00CD4D46"/>
    <w:rsid w:val="00CD4F8E"/>
    <w:rsid w:val="00CD52E5"/>
    <w:rsid w:val="00CD53AE"/>
    <w:rsid w:val="00CD5416"/>
    <w:rsid w:val="00CD596C"/>
    <w:rsid w:val="00CD72E7"/>
    <w:rsid w:val="00CD735D"/>
    <w:rsid w:val="00CD75B0"/>
    <w:rsid w:val="00CD7727"/>
    <w:rsid w:val="00CD7D5B"/>
    <w:rsid w:val="00CD7E71"/>
    <w:rsid w:val="00CE01D4"/>
    <w:rsid w:val="00CE03A4"/>
    <w:rsid w:val="00CE0AB5"/>
    <w:rsid w:val="00CE0E46"/>
    <w:rsid w:val="00CE1562"/>
    <w:rsid w:val="00CE1B3E"/>
    <w:rsid w:val="00CE1FC3"/>
    <w:rsid w:val="00CE215E"/>
    <w:rsid w:val="00CE244E"/>
    <w:rsid w:val="00CE268B"/>
    <w:rsid w:val="00CE2813"/>
    <w:rsid w:val="00CE2CCB"/>
    <w:rsid w:val="00CE3A62"/>
    <w:rsid w:val="00CE43A3"/>
    <w:rsid w:val="00CE4AB5"/>
    <w:rsid w:val="00CE5857"/>
    <w:rsid w:val="00CE5B54"/>
    <w:rsid w:val="00CE5C64"/>
    <w:rsid w:val="00CE5E7F"/>
    <w:rsid w:val="00CE66EB"/>
    <w:rsid w:val="00CE69CD"/>
    <w:rsid w:val="00CE6A06"/>
    <w:rsid w:val="00CE79E6"/>
    <w:rsid w:val="00CE7A77"/>
    <w:rsid w:val="00CE7CC7"/>
    <w:rsid w:val="00CE7F25"/>
    <w:rsid w:val="00CF0F6F"/>
    <w:rsid w:val="00CF1D96"/>
    <w:rsid w:val="00CF1DDC"/>
    <w:rsid w:val="00CF31BB"/>
    <w:rsid w:val="00CF375D"/>
    <w:rsid w:val="00CF3984"/>
    <w:rsid w:val="00CF3DE8"/>
    <w:rsid w:val="00CF454F"/>
    <w:rsid w:val="00CF47F4"/>
    <w:rsid w:val="00CF496F"/>
    <w:rsid w:val="00CF505A"/>
    <w:rsid w:val="00CF5228"/>
    <w:rsid w:val="00CF5771"/>
    <w:rsid w:val="00CF5844"/>
    <w:rsid w:val="00CF6BAD"/>
    <w:rsid w:val="00CF6F08"/>
    <w:rsid w:val="00CF7B04"/>
    <w:rsid w:val="00D000BA"/>
    <w:rsid w:val="00D001B9"/>
    <w:rsid w:val="00D00370"/>
    <w:rsid w:val="00D00C1D"/>
    <w:rsid w:val="00D01055"/>
    <w:rsid w:val="00D010DD"/>
    <w:rsid w:val="00D016E0"/>
    <w:rsid w:val="00D0188C"/>
    <w:rsid w:val="00D01A5B"/>
    <w:rsid w:val="00D01EC6"/>
    <w:rsid w:val="00D024F0"/>
    <w:rsid w:val="00D02561"/>
    <w:rsid w:val="00D02702"/>
    <w:rsid w:val="00D02A36"/>
    <w:rsid w:val="00D03591"/>
    <w:rsid w:val="00D03C4C"/>
    <w:rsid w:val="00D04598"/>
    <w:rsid w:val="00D0459D"/>
    <w:rsid w:val="00D04D81"/>
    <w:rsid w:val="00D04E61"/>
    <w:rsid w:val="00D04F98"/>
    <w:rsid w:val="00D057D9"/>
    <w:rsid w:val="00D0612D"/>
    <w:rsid w:val="00D06951"/>
    <w:rsid w:val="00D06B6B"/>
    <w:rsid w:val="00D0728C"/>
    <w:rsid w:val="00D07ADE"/>
    <w:rsid w:val="00D07FA6"/>
    <w:rsid w:val="00D109C3"/>
    <w:rsid w:val="00D10B6C"/>
    <w:rsid w:val="00D112A9"/>
    <w:rsid w:val="00D115E5"/>
    <w:rsid w:val="00D1160C"/>
    <w:rsid w:val="00D11881"/>
    <w:rsid w:val="00D1195C"/>
    <w:rsid w:val="00D11AAD"/>
    <w:rsid w:val="00D123EA"/>
    <w:rsid w:val="00D12823"/>
    <w:rsid w:val="00D1292C"/>
    <w:rsid w:val="00D13982"/>
    <w:rsid w:val="00D13C81"/>
    <w:rsid w:val="00D13EDE"/>
    <w:rsid w:val="00D147E3"/>
    <w:rsid w:val="00D149A9"/>
    <w:rsid w:val="00D14D88"/>
    <w:rsid w:val="00D15077"/>
    <w:rsid w:val="00D15366"/>
    <w:rsid w:val="00D15718"/>
    <w:rsid w:val="00D15B65"/>
    <w:rsid w:val="00D15DF2"/>
    <w:rsid w:val="00D16FFD"/>
    <w:rsid w:val="00D17085"/>
    <w:rsid w:val="00D20669"/>
    <w:rsid w:val="00D2079A"/>
    <w:rsid w:val="00D21474"/>
    <w:rsid w:val="00D2190B"/>
    <w:rsid w:val="00D21AEF"/>
    <w:rsid w:val="00D21F2C"/>
    <w:rsid w:val="00D22965"/>
    <w:rsid w:val="00D22E6D"/>
    <w:rsid w:val="00D2303C"/>
    <w:rsid w:val="00D234B5"/>
    <w:rsid w:val="00D23C00"/>
    <w:rsid w:val="00D25185"/>
    <w:rsid w:val="00D25D9A"/>
    <w:rsid w:val="00D262AA"/>
    <w:rsid w:val="00D26538"/>
    <w:rsid w:val="00D2682E"/>
    <w:rsid w:val="00D26D2F"/>
    <w:rsid w:val="00D276FF"/>
    <w:rsid w:val="00D27BE3"/>
    <w:rsid w:val="00D27DA8"/>
    <w:rsid w:val="00D30A7B"/>
    <w:rsid w:val="00D3160D"/>
    <w:rsid w:val="00D319F4"/>
    <w:rsid w:val="00D31EF8"/>
    <w:rsid w:val="00D32029"/>
    <w:rsid w:val="00D32424"/>
    <w:rsid w:val="00D33031"/>
    <w:rsid w:val="00D3339D"/>
    <w:rsid w:val="00D3392A"/>
    <w:rsid w:val="00D347CE"/>
    <w:rsid w:val="00D3496B"/>
    <w:rsid w:val="00D34F7F"/>
    <w:rsid w:val="00D35120"/>
    <w:rsid w:val="00D35427"/>
    <w:rsid w:val="00D35D1E"/>
    <w:rsid w:val="00D36244"/>
    <w:rsid w:val="00D36F82"/>
    <w:rsid w:val="00D37C95"/>
    <w:rsid w:val="00D40072"/>
    <w:rsid w:val="00D401C3"/>
    <w:rsid w:val="00D40F8A"/>
    <w:rsid w:val="00D41BD4"/>
    <w:rsid w:val="00D431EE"/>
    <w:rsid w:val="00D43894"/>
    <w:rsid w:val="00D44530"/>
    <w:rsid w:val="00D45566"/>
    <w:rsid w:val="00D45E9F"/>
    <w:rsid w:val="00D46208"/>
    <w:rsid w:val="00D462EE"/>
    <w:rsid w:val="00D463A4"/>
    <w:rsid w:val="00D472F2"/>
    <w:rsid w:val="00D47B2C"/>
    <w:rsid w:val="00D47E3C"/>
    <w:rsid w:val="00D51E0A"/>
    <w:rsid w:val="00D51ECD"/>
    <w:rsid w:val="00D523F2"/>
    <w:rsid w:val="00D52A80"/>
    <w:rsid w:val="00D536D2"/>
    <w:rsid w:val="00D536F5"/>
    <w:rsid w:val="00D53EFE"/>
    <w:rsid w:val="00D55A1D"/>
    <w:rsid w:val="00D55CEC"/>
    <w:rsid w:val="00D55E77"/>
    <w:rsid w:val="00D562B3"/>
    <w:rsid w:val="00D563DA"/>
    <w:rsid w:val="00D567C6"/>
    <w:rsid w:val="00D56B42"/>
    <w:rsid w:val="00D57BFC"/>
    <w:rsid w:val="00D601BB"/>
    <w:rsid w:val="00D60204"/>
    <w:rsid w:val="00D60D49"/>
    <w:rsid w:val="00D61A1B"/>
    <w:rsid w:val="00D61ED7"/>
    <w:rsid w:val="00D62063"/>
    <w:rsid w:val="00D6239B"/>
    <w:rsid w:val="00D627CA"/>
    <w:rsid w:val="00D62852"/>
    <w:rsid w:val="00D628C4"/>
    <w:rsid w:val="00D628DC"/>
    <w:rsid w:val="00D629A8"/>
    <w:rsid w:val="00D64499"/>
    <w:rsid w:val="00D65E8B"/>
    <w:rsid w:val="00D6670D"/>
    <w:rsid w:val="00D66DCA"/>
    <w:rsid w:val="00D671AE"/>
    <w:rsid w:val="00D67B6E"/>
    <w:rsid w:val="00D70944"/>
    <w:rsid w:val="00D70A28"/>
    <w:rsid w:val="00D70AD7"/>
    <w:rsid w:val="00D70EAF"/>
    <w:rsid w:val="00D7123D"/>
    <w:rsid w:val="00D716D4"/>
    <w:rsid w:val="00D71879"/>
    <w:rsid w:val="00D718DC"/>
    <w:rsid w:val="00D71B60"/>
    <w:rsid w:val="00D71E74"/>
    <w:rsid w:val="00D72271"/>
    <w:rsid w:val="00D722FA"/>
    <w:rsid w:val="00D72A4B"/>
    <w:rsid w:val="00D72DCD"/>
    <w:rsid w:val="00D73A0B"/>
    <w:rsid w:val="00D74C03"/>
    <w:rsid w:val="00D75220"/>
    <w:rsid w:val="00D75490"/>
    <w:rsid w:val="00D75E4D"/>
    <w:rsid w:val="00D75EE9"/>
    <w:rsid w:val="00D766CF"/>
    <w:rsid w:val="00D772AC"/>
    <w:rsid w:val="00D77BDF"/>
    <w:rsid w:val="00D80657"/>
    <w:rsid w:val="00D80C8D"/>
    <w:rsid w:val="00D810AA"/>
    <w:rsid w:val="00D814CA"/>
    <w:rsid w:val="00D81782"/>
    <w:rsid w:val="00D819DE"/>
    <w:rsid w:val="00D81CBE"/>
    <w:rsid w:val="00D81CEE"/>
    <w:rsid w:val="00D829C3"/>
    <w:rsid w:val="00D82D9D"/>
    <w:rsid w:val="00D853E2"/>
    <w:rsid w:val="00D85654"/>
    <w:rsid w:val="00D859AF"/>
    <w:rsid w:val="00D86BD9"/>
    <w:rsid w:val="00D86C80"/>
    <w:rsid w:val="00D86F78"/>
    <w:rsid w:val="00D876B7"/>
    <w:rsid w:val="00D876BE"/>
    <w:rsid w:val="00D877C7"/>
    <w:rsid w:val="00D87828"/>
    <w:rsid w:val="00D9001C"/>
    <w:rsid w:val="00D90077"/>
    <w:rsid w:val="00D9040B"/>
    <w:rsid w:val="00D908FF"/>
    <w:rsid w:val="00D90D2C"/>
    <w:rsid w:val="00D90F5C"/>
    <w:rsid w:val="00D910C0"/>
    <w:rsid w:val="00D9167D"/>
    <w:rsid w:val="00D91CDA"/>
    <w:rsid w:val="00D92229"/>
    <w:rsid w:val="00D9260F"/>
    <w:rsid w:val="00D9296C"/>
    <w:rsid w:val="00D92AB7"/>
    <w:rsid w:val="00D92C13"/>
    <w:rsid w:val="00D92F82"/>
    <w:rsid w:val="00D9438D"/>
    <w:rsid w:val="00D94448"/>
    <w:rsid w:val="00D94587"/>
    <w:rsid w:val="00D9496A"/>
    <w:rsid w:val="00D953BC"/>
    <w:rsid w:val="00D95DD7"/>
    <w:rsid w:val="00D96494"/>
    <w:rsid w:val="00D9698B"/>
    <w:rsid w:val="00D969C2"/>
    <w:rsid w:val="00D97201"/>
    <w:rsid w:val="00D97D2D"/>
    <w:rsid w:val="00D97F09"/>
    <w:rsid w:val="00DA004E"/>
    <w:rsid w:val="00DA0194"/>
    <w:rsid w:val="00DA03CC"/>
    <w:rsid w:val="00DA08BC"/>
    <w:rsid w:val="00DA0BB9"/>
    <w:rsid w:val="00DA0C20"/>
    <w:rsid w:val="00DA139F"/>
    <w:rsid w:val="00DA1577"/>
    <w:rsid w:val="00DA1EDC"/>
    <w:rsid w:val="00DA27BD"/>
    <w:rsid w:val="00DA3A62"/>
    <w:rsid w:val="00DA4927"/>
    <w:rsid w:val="00DA5328"/>
    <w:rsid w:val="00DA5444"/>
    <w:rsid w:val="00DA5676"/>
    <w:rsid w:val="00DA59DE"/>
    <w:rsid w:val="00DA687F"/>
    <w:rsid w:val="00DA6CA7"/>
    <w:rsid w:val="00DA6F12"/>
    <w:rsid w:val="00DB1575"/>
    <w:rsid w:val="00DB15CB"/>
    <w:rsid w:val="00DB26AA"/>
    <w:rsid w:val="00DB2B56"/>
    <w:rsid w:val="00DB382C"/>
    <w:rsid w:val="00DB3CB5"/>
    <w:rsid w:val="00DB461D"/>
    <w:rsid w:val="00DB46FD"/>
    <w:rsid w:val="00DB6F14"/>
    <w:rsid w:val="00DB719E"/>
    <w:rsid w:val="00DB7A1D"/>
    <w:rsid w:val="00DC00C9"/>
    <w:rsid w:val="00DC0392"/>
    <w:rsid w:val="00DC06A6"/>
    <w:rsid w:val="00DC0C6B"/>
    <w:rsid w:val="00DC0C78"/>
    <w:rsid w:val="00DC0EC4"/>
    <w:rsid w:val="00DC2446"/>
    <w:rsid w:val="00DC375D"/>
    <w:rsid w:val="00DC3FCB"/>
    <w:rsid w:val="00DC62E0"/>
    <w:rsid w:val="00DC63AC"/>
    <w:rsid w:val="00DC78C3"/>
    <w:rsid w:val="00DD02BD"/>
    <w:rsid w:val="00DD055C"/>
    <w:rsid w:val="00DD2DF7"/>
    <w:rsid w:val="00DD3287"/>
    <w:rsid w:val="00DD350B"/>
    <w:rsid w:val="00DD3629"/>
    <w:rsid w:val="00DD52B4"/>
    <w:rsid w:val="00DD578A"/>
    <w:rsid w:val="00DD5B30"/>
    <w:rsid w:val="00DD5E13"/>
    <w:rsid w:val="00DD62E6"/>
    <w:rsid w:val="00DD651F"/>
    <w:rsid w:val="00DD660A"/>
    <w:rsid w:val="00DD7596"/>
    <w:rsid w:val="00DD7A04"/>
    <w:rsid w:val="00DD7DE2"/>
    <w:rsid w:val="00DD7FD7"/>
    <w:rsid w:val="00DE0978"/>
    <w:rsid w:val="00DE09B0"/>
    <w:rsid w:val="00DE1D4E"/>
    <w:rsid w:val="00DE211C"/>
    <w:rsid w:val="00DE2728"/>
    <w:rsid w:val="00DE289C"/>
    <w:rsid w:val="00DE2A11"/>
    <w:rsid w:val="00DE2D48"/>
    <w:rsid w:val="00DE2FF2"/>
    <w:rsid w:val="00DE3175"/>
    <w:rsid w:val="00DE32A9"/>
    <w:rsid w:val="00DE3F6A"/>
    <w:rsid w:val="00DE443E"/>
    <w:rsid w:val="00DE4C1A"/>
    <w:rsid w:val="00DE5E7A"/>
    <w:rsid w:val="00DE6022"/>
    <w:rsid w:val="00DE6E84"/>
    <w:rsid w:val="00DE6EA3"/>
    <w:rsid w:val="00DE797D"/>
    <w:rsid w:val="00DE7A10"/>
    <w:rsid w:val="00DF01DA"/>
    <w:rsid w:val="00DF044F"/>
    <w:rsid w:val="00DF0A39"/>
    <w:rsid w:val="00DF146A"/>
    <w:rsid w:val="00DF2AFD"/>
    <w:rsid w:val="00DF2DA6"/>
    <w:rsid w:val="00DF3261"/>
    <w:rsid w:val="00DF3566"/>
    <w:rsid w:val="00DF386F"/>
    <w:rsid w:val="00DF3A3F"/>
    <w:rsid w:val="00DF41E0"/>
    <w:rsid w:val="00DF46A8"/>
    <w:rsid w:val="00DF4869"/>
    <w:rsid w:val="00DF506D"/>
    <w:rsid w:val="00DF5513"/>
    <w:rsid w:val="00DF5957"/>
    <w:rsid w:val="00DF5C3A"/>
    <w:rsid w:val="00DF5D89"/>
    <w:rsid w:val="00DF63D5"/>
    <w:rsid w:val="00DF6512"/>
    <w:rsid w:val="00DF6882"/>
    <w:rsid w:val="00DF706E"/>
    <w:rsid w:val="00DF7C2A"/>
    <w:rsid w:val="00DF7D36"/>
    <w:rsid w:val="00E00662"/>
    <w:rsid w:val="00E008DD"/>
    <w:rsid w:val="00E011E2"/>
    <w:rsid w:val="00E015FB"/>
    <w:rsid w:val="00E01A5B"/>
    <w:rsid w:val="00E0244C"/>
    <w:rsid w:val="00E024C0"/>
    <w:rsid w:val="00E02668"/>
    <w:rsid w:val="00E031B1"/>
    <w:rsid w:val="00E034B2"/>
    <w:rsid w:val="00E04CB4"/>
    <w:rsid w:val="00E109B6"/>
    <w:rsid w:val="00E10D1E"/>
    <w:rsid w:val="00E10D8F"/>
    <w:rsid w:val="00E114E3"/>
    <w:rsid w:val="00E11BAC"/>
    <w:rsid w:val="00E11FCC"/>
    <w:rsid w:val="00E126EC"/>
    <w:rsid w:val="00E12AAF"/>
    <w:rsid w:val="00E13367"/>
    <w:rsid w:val="00E133C1"/>
    <w:rsid w:val="00E135C4"/>
    <w:rsid w:val="00E1370B"/>
    <w:rsid w:val="00E13DE6"/>
    <w:rsid w:val="00E13F53"/>
    <w:rsid w:val="00E14248"/>
    <w:rsid w:val="00E145DA"/>
    <w:rsid w:val="00E14AD6"/>
    <w:rsid w:val="00E15C5A"/>
    <w:rsid w:val="00E162BB"/>
    <w:rsid w:val="00E16658"/>
    <w:rsid w:val="00E166B0"/>
    <w:rsid w:val="00E173C6"/>
    <w:rsid w:val="00E17672"/>
    <w:rsid w:val="00E20053"/>
    <w:rsid w:val="00E20424"/>
    <w:rsid w:val="00E20803"/>
    <w:rsid w:val="00E20B50"/>
    <w:rsid w:val="00E20B67"/>
    <w:rsid w:val="00E20FBD"/>
    <w:rsid w:val="00E21263"/>
    <w:rsid w:val="00E21C54"/>
    <w:rsid w:val="00E21F54"/>
    <w:rsid w:val="00E231D3"/>
    <w:rsid w:val="00E234A1"/>
    <w:rsid w:val="00E23C45"/>
    <w:rsid w:val="00E24BDE"/>
    <w:rsid w:val="00E2570C"/>
    <w:rsid w:val="00E257B8"/>
    <w:rsid w:val="00E25E3D"/>
    <w:rsid w:val="00E26332"/>
    <w:rsid w:val="00E26494"/>
    <w:rsid w:val="00E268A9"/>
    <w:rsid w:val="00E2789A"/>
    <w:rsid w:val="00E30782"/>
    <w:rsid w:val="00E307AB"/>
    <w:rsid w:val="00E3086F"/>
    <w:rsid w:val="00E30DA1"/>
    <w:rsid w:val="00E30EE5"/>
    <w:rsid w:val="00E31279"/>
    <w:rsid w:val="00E324D0"/>
    <w:rsid w:val="00E326C3"/>
    <w:rsid w:val="00E32A2D"/>
    <w:rsid w:val="00E3346D"/>
    <w:rsid w:val="00E34169"/>
    <w:rsid w:val="00E344DD"/>
    <w:rsid w:val="00E34605"/>
    <w:rsid w:val="00E3569E"/>
    <w:rsid w:val="00E357F9"/>
    <w:rsid w:val="00E360E1"/>
    <w:rsid w:val="00E364D1"/>
    <w:rsid w:val="00E3699D"/>
    <w:rsid w:val="00E37CC1"/>
    <w:rsid w:val="00E37CCD"/>
    <w:rsid w:val="00E37F2E"/>
    <w:rsid w:val="00E407AF"/>
    <w:rsid w:val="00E411C2"/>
    <w:rsid w:val="00E41495"/>
    <w:rsid w:val="00E4264C"/>
    <w:rsid w:val="00E428C1"/>
    <w:rsid w:val="00E43942"/>
    <w:rsid w:val="00E43FA1"/>
    <w:rsid w:val="00E451E9"/>
    <w:rsid w:val="00E456DD"/>
    <w:rsid w:val="00E45900"/>
    <w:rsid w:val="00E4793E"/>
    <w:rsid w:val="00E5012C"/>
    <w:rsid w:val="00E507BD"/>
    <w:rsid w:val="00E512E3"/>
    <w:rsid w:val="00E51349"/>
    <w:rsid w:val="00E51CEF"/>
    <w:rsid w:val="00E52117"/>
    <w:rsid w:val="00E52889"/>
    <w:rsid w:val="00E52C28"/>
    <w:rsid w:val="00E534DB"/>
    <w:rsid w:val="00E53C32"/>
    <w:rsid w:val="00E549EE"/>
    <w:rsid w:val="00E54FDC"/>
    <w:rsid w:val="00E54FFD"/>
    <w:rsid w:val="00E5507D"/>
    <w:rsid w:val="00E55918"/>
    <w:rsid w:val="00E55C99"/>
    <w:rsid w:val="00E5640D"/>
    <w:rsid w:val="00E5657C"/>
    <w:rsid w:val="00E5729F"/>
    <w:rsid w:val="00E573A2"/>
    <w:rsid w:val="00E577C9"/>
    <w:rsid w:val="00E57CE1"/>
    <w:rsid w:val="00E6028B"/>
    <w:rsid w:val="00E60A9F"/>
    <w:rsid w:val="00E60C3C"/>
    <w:rsid w:val="00E62611"/>
    <w:rsid w:val="00E62A1B"/>
    <w:rsid w:val="00E62DF7"/>
    <w:rsid w:val="00E62E44"/>
    <w:rsid w:val="00E63743"/>
    <w:rsid w:val="00E63BF1"/>
    <w:rsid w:val="00E63F31"/>
    <w:rsid w:val="00E64159"/>
    <w:rsid w:val="00E6498E"/>
    <w:rsid w:val="00E64F08"/>
    <w:rsid w:val="00E654A9"/>
    <w:rsid w:val="00E655B3"/>
    <w:rsid w:val="00E6597B"/>
    <w:rsid w:val="00E65FE8"/>
    <w:rsid w:val="00E6610E"/>
    <w:rsid w:val="00E6654D"/>
    <w:rsid w:val="00E66873"/>
    <w:rsid w:val="00E6706D"/>
    <w:rsid w:val="00E67F93"/>
    <w:rsid w:val="00E702B2"/>
    <w:rsid w:val="00E706C0"/>
    <w:rsid w:val="00E70B60"/>
    <w:rsid w:val="00E70BCB"/>
    <w:rsid w:val="00E711F6"/>
    <w:rsid w:val="00E71720"/>
    <w:rsid w:val="00E717EB"/>
    <w:rsid w:val="00E71D97"/>
    <w:rsid w:val="00E71E3E"/>
    <w:rsid w:val="00E71EE3"/>
    <w:rsid w:val="00E7227E"/>
    <w:rsid w:val="00E72972"/>
    <w:rsid w:val="00E735B2"/>
    <w:rsid w:val="00E73A9E"/>
    <w:rsid w:val="00E73DFB"/>
    <w:rsid w:val="00E73E6F"/>
    <w:rsid w:val="00E74082"/>
    <w:rsid w:val="00E740E8"/>
    <w:rsid w:val="00E748D3"/>
    <w:rsid w:val="00E749C8"/>
    <w:rsid w:val="00E74EF0"/>
    <w:rsid w:val="00E75E9B"/>
    <w:rsid w:val="00E764ED"/>
    <w:rsid w:val="00E7684C"/>
    <w:rsid w:val="00E77618"/>
    <w:rsid w:val="00E77B05"/>
    <w:rsid w:val="00E80277"/>
    <w:rsid w:val="00E80278"/>
    <w:rsid w:val="00E80521"/>
    <w:rsid w:val="00E8073A"/>
    <w:rsid w:val="00E81DD1"/>
    <w:rsid w:val="00E82341"/>
    <w:rsid w:val="00E8298A"/>
    <w:rsid w:val="00E82B11"/>
    <w:rsid w:val="00E833FE"/>
    <w:rsid w:val="00E837F5"/>
    <w:rsid w:val="00E8568F"/>
    <w:rsid w:val="00E86DF1"/>
    <w:rsid w:val="00E873ED"/>
    <w:rsid w:val="00E8752C"/>
    <w:rsid w:val="00E90288"/>
    <w:rsid w:val="00E9051D"/>
    <w:rsid w:val="00E90D04"/>
    <w:rsid w:val="00E90E4E"/>
    <w:rsid w:val="00E90F54"/>
    <w:rsid w:val="00E923B5"/>
    <w:rsid w:val="00E9330F"/>
    <w:rsid w:val="00E93C12"/>
    <w:rsid w:val="00E9417B"/>
    <w:rsid w:val="00E94A01"/>
    <w:rsid w:val="00E94B0B"/>
    <w:rsid w:val="00E94C39"/>
    <w:rsid w:val="00E94D5E"/>
    <w:rsid w:val="00E95336"/>
    <w:rsid w:val="00E953CE"/>
    <w:rsid w:val="00E95F06"/>
    <w:rsid w:val="00E962BB"/>
    <w:rsid w:val="00E962BC"/>
    <w:rsid w:val="00E96BE8"/>
    <w:rsid w:val="00E9701D"/>
    <w:rsid w:val="00E9782A"/>
    <w:rsid w:val="00E97AF6"/>
    <w:rsid w:val="00EA0AF8"/>
    <w:rsid w:val="00EA2000"/>
    <w:rsid w:val="00EA2A19"/>
    <w:rsid w:val="00EA3E73"/>
    <w:rsid w:val="00EA4387"/>
    <w:rsid w:val="00EA5408"/>
    <w:rsid w:val="00EA5485"/>
    <w:rsid w:val="00EA54C6"/>
    <w:rsid w:val="00EA599E"/>
    <w:rsid w:val="00EA5B49"/>
    <w:rsid w:val="00EA5FD7"/>
    <w:rsid w:val="00EA656E"/>
    <w:rsid w:val="00EA7296"/>
    <w:rsid w:val="00EA7364"/>
    <w:rsid w:val="00EA7375"/>
    <w:rsid w:val="00EB13F4"/>
    <w:rsid w:val="00EB1D6B"/>
    <w:rsid w:val="00EB24A2"/>
    <w:rsid w:val="00EB255A"/>
    <w:rsid w:val="00EB3D3E"/>
    <w:rsid w:val="00EB40A8"/>
    <w:rsid w:val="00EB41E1"/>
    <w:rsid w:val="00EB4351"/>
    <w:rsid w:val="00EB5687"/>
    <w:rsid w:val="00EB5806"/>
    <w:rsid w:val="00EB5C1A"/>
    <w:rsid w:val="00EB6469"/>
    <w:rsid w:val="00EB6529"/>
    <w:rsid w:val="00EB72E3"/>
    <w:rsid w:val="00EC057B"/>
    <w:rsid w:val="00EC0B47"/>
    <w:rsid w:val="00EC0DB2"/>
    <w:rsid w:val="00EC26BB"/>
    <w:rsid w:val="00EC2A8A"/>
    <w:rsid w:val="00EC3F95"/>
    <w:rsid w:val="00EC4222"/>
    <w:rsid w:val="00EC440F"/>
    <w:rsid w:val="00EC4857"/>
    <w:rsid w:val="00EC4A78"/>
    <w:rsid w:val="00EC4F7C"/>
    <w:rsid w:val="00EC650C"/>
    <w:rsid w:val="00EC6843"/>
    <w:rsid w:val="00EC6C63"/>
    <w:rsid w:val="00EC76A8"/>
    <w:rsid w:val="00ED013C"/>
    <w:rsid w:val="00ED0763"/>
    <w:rsid w:val="00ED088E"/>
    <w:rsid w:val="00ED17A1"/>
    <w:rsid w:val="00ED1B65"/>
    <w:rsid w:val="00ED1C5F"/>
    <w:rsid w:val="00ED20BF"/>
    <w:rsid w:val="00ED2C84"/>
    <w:rsid w:val="00ED2EB7"/>
    <w:rsid w:val="00ED38A4"/>
    <w:rsid w:val="00ED3D8E"/>
    <w:rsid w:val="00ED42C5"/>
    <w:rsid w:val="00ED457B"/>
    <w:rsid w:val="00ED4DF4"/>
    <w:rsid w:val="00ED573A"/>
    <w:rsid w:val="00ED5C44"/>
    <w:rsid w:val="00ED6203"/>
    <w:rsid w:val="00ED6A52"/>
    <w:rsid w:val="00ED6B74"/>
    <w:rsid w:val="00ED6CF9"/>
    <w:rsid w:val="00ED77A7"/>
    <w:rsid w:val="00ED789F"/>
    <w:rsid w:val="00ED7EEB"/>
    <w:rsid w:val="00EE052F"/>
    <w:rsid w:val="00EE1839"/>
    <w:rsid w:val="00EE2CB3"/>
    <w:rsid w:val="00EE3418"/>
    <w:rsid w:val="00EE39DC"/>
    <w:rsid w:val="00EE3EB1"/>
    <w:rsid w:val="00EE4BEC"/>
    <w:rsid w:val="00EE4C04"/>
    <w:rsid w:val="00EE4C7E"/>
    <w:rsid w:val="00EE4D10"/>
    <w:rsid w:val="00EE4F40"/>
    <w:rsid w:val="00EE52F3"/>
    <w:rsid w:val="00EE5F6B"/>
    <w:rsid w:val="00EE6019"/>
    <w:rsid w:val="00EE60B5"/>
    <w:rsid w:val="00EE681F"/>
    <w:rsid w:val="00EE69F2"/>
    <w:rsid w:val="00EE71C7"/>
    <w:rsid w:val="00EE7894"/>
    <w:rsid w:val="00EE7D06"/>
    <w:rsid w:val="00EF0375"/>
    <w:rsid w:val="00EF0C75"/>
    <w:rsid w:val="00EF0F5A"/>
    <w:rsid w:val="00EF0FE5"/>
    <w:rsid w:val="00EF13B6"/>
    <w:rsid w:val="00EF1725"/>
    <w:rsid w:val="00EF1D9D"/>
    <w:rsid w:val="00EF2254"/>
    <w:rsid w:val="00EF2540"/>
    <w:rsid w:val="00EF2C80"/>
    <w:rsid w:val="00EF302D"/>
    <w:rsid w:val="00EF30FC"/>
    <w:rsid w:val="00EF31A0"/>
    <w:rsid w:val="00EF3DE1"/>
    <w:rsid w:val="00EF457D"/>
    <w:rsid w:val="00EF4EAC"/>
    <w:rsid w:val="00EF57B3"/>
    <w:rsid w:val="00EF6D8A"/>
    <w:rsid w:val="00EF7BFC"/>
    <w:rsid w:val="00F0075E"/>
    <w:rsid w:val="00F00938"/>
    <w:rsid w:val="00F00A6A"/>
    <w:rsid w:val="00F00C76"/>
    <w:rsid w:val="00F014F3"/>
    <w:rsid w:val="00F015D3"/>
    <w:rsid w:val="00F0163F"/>
    <w:rsid w:val="00F016B1"/>
    <w:rsid w:val="00F01AE9"/>
    <w:rsid w:val="00F022CB"/>
    <w:rsid w:val="00F023BD"/>
    <w:rsid w:val="00F0245C"/>
    <w:rsid w:val="00F0258F"/>
    <w:rsid w:val="00F02686"/>
    <w:rsid w:val="00F02D37"/>
    <w:rsid w:val="00F0316D"/>
    <w:rsid w:val="00F03469"/>
    <w:rsid w:val="00F0466B"/>
    <w:rsid w:val="00F04833"/>
    <w:rsid w:val="00F049A5"/>
    <w:rsid w:val="00F04ADA"/>
    <w:rsid w:val="00F0600F"/>
    <w:rsid w:val="00F06603"/>
    <w:rsid w:val="00F06BC1"/>
    <w:rsid w:val="00F0725D"/>
    <w:rsid w:val="00F101C5"/>
    <w:rsid w:val="00F10498"/>
    <w:rsid w:val="00F10C9E"/>
    <w:rsid w:val="00F10F5C"/>
    <w:rsid w:val="00F11911"/>
    <w:rsid w:val="00F11D71"/>
    <w:rsid w:val="00F11FCE"/>
    <w:rsid w:val="00F12A8C"/>
    <w:rsid w:val="00F13285"/>
    <w:rsid w:val="00F13347"/>
    <w:rsid w:val="00F13848"/>
    <w:rsid w:val="00F1395E"/>
    <w:rsid w:val="00F13DE9"/>
    <w:rsid w:val="00F14143"/>
    <w:rsid w:val="00F1427B"/>
    <w:rsid w:val="00F15CC1"/>
    <w:rsid w:val="00F16384"/>
    <w:rsid w:val="00F16B67"/>
    <w:rsid w:val="00F176BC"/>
    <w:rsid w:val="00F17922"/>
    <w:rsid w:val="00F203CD"/>
    <w:rsid w:val="00F208B3"/>
    <w:rsid w:val="00F20AB5"/>
    <w:rsid w:val="00F211DB"/>
    <w:rsid w:val="00F22579"/>
    <w:rsid w:val="00F23831"/>
    <w:rsid w:val="00F23BE1"/>
    <w:rsid w:val="00F24017"/>
    <w:rsid w:val="00F2444B"/>
    <w:rsid w:val="00F24A25"/>
    <w:rsid w:val="00F253AE"/>
    <w:rsid w:val="00F2541B"/>
    <w:rsid w:val="00F25676"/>
    <w:rsid w:val="00F25683"/>
    <w:rsid w:val="00F262A0"/>
    <w:rsid w:val="00F268FA"/>
    <w:rsid w:val="00F300A2"/>
    <w:rsid w:val="00F30687"/>
    <w:rsid w:val="00F30758"/>
    <w:rsid w:val="00F30F41"/>
    <w:rsid w:val="00F310D7"/>
    <w:rsid w:val="00F310E0"/>
    <w:rsid w:val="00F317F7"/>
    <w:rsid w:val="00F32053"/>
    <w:rsid w:val="00F32D7D"/>
    <w:rsid w:val="00F331A8"/>
    <w:rsid w:val="00F33243"/>
    <w:rsid w:val="00F333AC"/>
    <w:rsid w:val="00F33D05"/>
    <w:rsid w:val="00F33DCF"/>
    <w:rsid w:val="00F343E3"/>
    <w:rsid w:val="00F349CE"/>
    <w:rsid w:val="00F34BB2"/>
    <w:rsid w:val="00F35694"/>
    <w:rsid w:val="00F35B3B"/>
    <w:rsid w:val="00F3688F"/>
    <w:rsid w:val="00F36FBD"/>
    <w:rsid w:val="00F37351"/>
    <w:rsid w:val="00F37A3E"/>
    <w:rsid w:val="00F37AA7"/>
    <w:rsid w:val="00F403C1"/>
    <w:rsid w:val="00F40A69"/>
    <w:rsid w:val="00F41144"/>
    <w:rsid w:val="00F41DC7"/>
    <w:rsid w:val="00F429B8"/>
    <w:rsid w:val="00F42C02"/>
    <w:rsid w:val="00F43B38"/>
    <w:rsid w:val="00F43B41"/>
    <w:rsid w:val="00F44559"/>
    <w:rsid w:val="00F44591"/>
    <w:rsid w:val="00F44A66"/>
    <w:rsid w:val="00F44C1D"/>
    <w:rsid w:val="00F44DE1"/>
    <w:rsid w:val="00F45672"/>
    <w:rsid w:val="00F45C89"/>
    <w:rsid w:val="00F4619E"/>
    <w:rsid w:val="00F463BA"/>
    <w:rsid w:val="00F4789F"/>
    <w:rsid w:val="00F50B8F"/>
    <w:rsid w:val="00F52873"/>
    <w:rsid w:val="00F52AD1"/>
    <w:rsid w:val="00F530C7"/>
    <w:rsid w:val="00F5316B"/>
    <w:rsid w:val="00F537C3"/>
    <w:rsid w:val="00F53E4C"/>
    <w:rsid w:val="00F53F94"/>
    <w:rsid w:val="00F540F0"/>
    <w:rsid w:val="00F541AB"/>
    <w:rsid w:val="00F54996"/>
    <w:rsid w:val="00F5526F"/>
    <w:rsid w:val="00F559E0"/>
    <w:rsid w:val="00F5677A"/>
    <w:rsid w:val="00F56DA1"/>
    <w:rsid w:val="00F56E7D"/>
    <w:rsid w:val="00F57060"/>
    <w:rsid w:val="00F5783F"/>
    <w:rsid w:val="00F579F6"/>
    <w:rsid w:val="00F610DF"/>
    <w:rsid w:val="00F6146D"/>
    <w:rsid w:val="00F614D9"/>
    <w:rsid w:val="00F617D6"/>
    <w:rsid w:val="00F61983"/>
    <w:rsid w:val="00F61C54"/>
    <w:rsid w:val="00F61C9A"/>
    <w:rsid w:val="00F61E2C"/>
    <w:rsid w:val="00F61F0E"/>
    <w:rsid w:val="00F62616"/>
    <w:rsid w:val="00F6273A"/>
    <w:rsid w:val="00F6299A"/>
    <w:rsid w:val="00F635D1"/>
    <w:rsid w:val="00F63E67"/>
    <w:rsid w:val="00F643D7"/>
    <w:rsid w:val="00F654C8"/>
    <w:rsid w:val="00F65553"/>
    <w:rsid w:val="00F657A8"/>
    <w:rsid w:val="00F65931"/>
    <w:rsid w:val="00F65DF8"/>
    <w:rsid w:val="00F669AD"/>
    <w:rsid w:val="00F66B42"/>
    <w:rsid w:val="00F66DA3"/>
    <w:rsid w:val="00F67051"/>
    <w:rsid w:val="00F6719B"/>
    <w:rsid w:val="00F6754A"/>
    <w:rsid w:val="00F67912"/>
    <w:rsid w:val="00F67E4F"/>
    <w:rsid w:val="00F71238"/>
    <w:rsid w:val="00F7154D"/>
    <w:rsid w:val="00F71651"/>
    <w:rsid w:val="00F716B3"/>
    <w:rsid w:val="00F716C3"/>
    <w:rsid w:val="00F7197E"/>
    <w:rsid w:val="00F73CDD"/>
    <w:rsid w:val="00F74234"/>
    <w:rsid w:val="00F74462"/>
    <w:rsid w:val="00F74904"/>
    <w:rsid w:val="00F75305"/>
    <w:rsid w:val="00F768DA"/>
    <w:rsid w:val="00F80585"/>
    <w:rsid w:val="00F80E1D"/>
    <w:rsid w:val="00F81495"/>
    <w:rsid w:val="00F819B0"/>
    <w:rsid w:val="00F81AEC"/>
    <w:rsid w:val="00F8306A"/>
    <w:rsid w:val="00F83164"/>
    <w:rsid w:val="00F8467A"/>
    <w:rsid w:val="00F8525E"/>
    <w:rsid w:val="00F8673F"/>
    <w:rsid w:val="00F86964"/>
    <w:rsid w:val="00F869EF"/>
    <w:rsid w:val="00F86EE4"/>
    <w:rsid w:val="00F87AB2"/>
    <w:rsid w:val="00F87B50"/>
    <w:rsid w:val="00F90202"/>
    <w:rsid w:val="00F91652"/>
    <w:rsid w:val="00F92051"/>
    <w:rsid w:val="00F9213C"/>
    <w:rsid w:val="00F927D5"/>
    <w:rsid w:val="00F92964"/>
    <w:rsid w:val="00F9299F"/>
    <w:rsid w:val="00F92BF8"/>
    <w:rsid w:val="00F935FF"/>
    <w:rsid w:val="00F952E4"/>
    <w:rsid w:val="00F9561D"/>
    <w:rsid w:val="00F96107"/>
    <w:rsid w:val="00F96232"/>
    <w:rsid w:val="00F96A69"/>
    <w:rsid w:val="00F96DCF"/>
    <w:rsid w:val="00F978AE"/>
    <w:rsid w:val="00FA144D"/>
    <w:rsid w:val="00FA1499"/>
    <w:rsid w:val="00FA15A6"/>
    <w:rsid w:val="00FA1795"/>
    <w:rsid w:val="00FA2019"/>
    <w:rsid w:val="00FA2F6A"/>
    <w:rsid w:val="00FA3383"/>
    <w:rsid w:val="00FA34D0"/>
    <w:rsid w:val="00FA493E"/>
    <w:rsid w:val="00FA62C8"/>
    <w:rsid w:val="00FA6312"/>
    <w:rsid w:val="00FA6585"/>
    <w:rsid w:val="00FA6A22"/>
    <w:rsid w:val="00FA6F18"/>
    <w:rsid w:val="00FA71FB"/>
    <w:rsid w:val="00FB0020"/>
    <w:rsid w:val="00FB0CE7"/>
    <w:rsid w:val="00FB0EFA"/>
    <w:rsid w:val="00FB1094"/>
    <w:rsid w:val="00FB154E"/>
    <w:rsid w:val="00FB2419"/>
    <w:rsid w:val="00FB249B"/>
    <w:rsid w:val="00FB29EC"/>
    <w:rsid w:val="00FB3188"/>
    <w:rsid w:val="00FB331E"/>
    <w:rsid w:val="00FB3D85"/>
    <w:rsid w:val="00FB3FF8"/>
    <w:rsid w:val="00FB4019"/>
    <w:rsid w:val="00FB40CD"/>
    <w:rsid w:val="00FB4B5D"/>
    <w:rsid w:val="00FB5E7A"/>
    <w:rsid w:val="00FB62A1"/>
    <w:rsid w:val="00FB631A"/>
    <w:rsid w:val="00FB6857"/>
    <w:rsid w:val="00FB68C7"/>
    <w:rsid w:val="00FB6BEE"/>
    <w:rsid w:val="00FB7231"/>
    <w:rsid w:val="00FC0027"/>
    <w:rsid w:val="00FC04EE"/>
    <w:rsid w:val="00FC0C55"/>
    <w:rsid w:val="00FC0DC2"/>
    <w:rsid w:val="00FC1501"/>
    <w:rsid w:val="00FC1FFC"/>
    <w:rsid w:val="00FC27E1"/>
    <w:rsid w:val="00FC2C40"/>
    <w:rsid w:val="00FC2F50"/>
    <w:rsid w:val="00FC32B0"/>
    <w:rsid w:val="00FC3857"/>
    <w:rsid w:val="00FC4040"/>
    <w:rsid w:val="00FC4084"/>
    <w:rsid w:val="00FC48CC"/>
    <w:rsid w:val="00FC4C08"/>
    <w:rsid w:val="00FC5048"/>
    <w:rsid w:val="00FC5DDC"/>
    <w:rsid w:val="00FC6CED"/>
    <w:rsid w:val="00FC6D5A"/>
    <w:rsid w:val="00FD0644"/>
    <w:rsid w:val="00FD143F"/>
    <w:rsid w:val="00FD15AB"/>
    <w:rsid w:val="00FD15F0"/>
    <w:rsid w:val="00FD18E5"/>
    <w:rsid w:val="00FD22C1"/>
    <w:rsid w:val="00FD23C4"/>
    <w:rsid w:val="00FD262E"/>
    <w:rsid w:val="00FD2638"/>
    <w:rsid w:val="00FD28C9"/>
    <w:rsid w:val="00FD2D00"/>
    <w:rsid w:val="00FD3BD4"/>
    <w:rsid w:val="00FD443F"/>
    <w:rsid w:val="00FD488F"/>
    <w:rsid w:val="00FD4B1E"/>
    <w:rsid w:val="00FD59BB"/>
    <w:rsid w:val="00FD625F"/>
    <w:rsid w:val="00FD68DB"/>
    <w:rsid w:val="00FD6B40"/>
    <w:rsid w:val="00FD6C69"/>
    <w:rsid w:val="00FD7812"/>
    <w:rsid w:val="00FE034A"/>
    <w:rsid w:val="00FE04A5"/>
    <w:rsid w:val="00FE1A18"/>
    <w:rsid w:val="00FE2B4F"/>
    <w:rsid w:val="00FE3B93"/>
    <w:rsid w:val="00FE3C75"/>
    <w:rsid w:val="00FE43F0"/>
    <w:rsid w:val="00FE4505"/>
    <w:rsid w:val="00FE4D06"/>
    <w:rsid w:val="00FE561B"/>
    <w:rsid w:val="00FE594B"/>
    <w:rsid w:val="00FE5B72"/>
    <w:rsid w:val="00FE6C7B"/>
    <w:rsid w:val="00FE710E"/>
    <w:rsid w:val="00FF0B62"/>
    <w:rsid w:val="00FF17A1"/>
    <w:rsid w:val="00FF1D93"/>
    <w:rsid w:val="00FF1E9E"/>
    <w:rsid w:val="00FF20FC"/>
    <w:rsid w:val="00FF2404"/>
    <w:rsid w:val="00FF2F0E"/>
    <w:rsid w:val="00FF3466"/>
    <w:rsid w:val="00FF40BD"/>
    <w:rsid w:val="00FF41FD"/>
    <w:rsid w:val="00FF4634"/>
    <w:rsid w:val="00FF4989"/>
    <w:rsid w:val="00FF51AB"/>
    <w:rsid w:val="00FF5335"/>
    <w:rsid w:val="00FF5BAC"/>
    <w:rsid w:val="00FF5CB1"/>
    <w:rsid w:val="00FF5D1A"/>
    <w:rsid w:val="00FF618B"/>
    <w:rsid w:val="00FF6370"/>
    <w:rsid w:val="00FF77F0"/>
    <w:rsid w:val="01098239"/>
    <w:rsid w:val="01200574"/>
    <w:rsid w:val="02A775D9"/>
    <w:rsid w:val="1176257B"/>
    <w:rsid w:val="11ED8C57"/>
    <w:rsid w:val="16D1DF03"/>
    <w:rsid w:val="1B5F2B2A"/>
    <w:rsid w:val="1E7C7398"/>
    <w:rsid w:val="1F075BDA"/>
    <w:rsid w:val="2303915F"/>
    <w:rsid w:val="2383F02B"/>
    <w:rsid w:val="248C07AB"/>
    <w:rsid w:val="29DAD12B"/>
    <w:rsid w:val="2D2E4AF2"/>
    <w:rsid w:val="2DA81854"/>
    <w:rsid w:val="2F22C34B"/>
    <w:rsid w:val="2FCDC8C1"/>
    <w:rsid w:val="30CC999B"/>
    <w:rsid w:val="33047E52"/>
    <w:rsid w:val="3922F7A2"/>
    <w:rsid w:val="3DCA2D60"/>
    <w:rsid w:val="3F041C32"/>
    <w:rsid w:val="400CC7FC"/>
    <w:rsid w:val="41B46308"/>
    <w:rsid w:val="425D630F"/>
    <w:rsid w:val="438973F0"/>
    <w:rsid w:val="4495B5BA"/>
    <w:rsid w:val="451DF49B"/>
    <w:rsid w:val="497975EF"/>
    <w:rsid w:val="4B662EB5"/>
    <w:rsid w:val="4C6403DC"/>
    <w:rsid w:val="4EB9B4D8"/>
    <w:rsid w:val="4FD8CC8D"/>
    <w:rsid w:val="511F1502"/>
    <w:rsid w:val="5280CF83"/>
    <w:rsid w:val="58014D19"/>
    <w:rsid w:val="5A6919D7"/>
    <w:rsid w:val="5A830B82"/>
    <w:rsid w:val="5AB67CDF"/>
    <w:rsid w:val="5E9E12DE"/>
    <w:rsid w:val="63863092"/>
    <w:rsid w:val="65B18A8A"/>
    <w:rsid w:val="681A5A3E"/>
    <w:rsid w:val="6882F514"/>
    <w:rsid w:val="698C6409"/>
    <w:rsid w:val="71A0E991"/>
    <w:rsid w:val="7797F8D8"/>
    <w:rsid w:val="7A207851"/>
    <w:rsid w:val="7A52994C"/>
    <w:rsid w:val="7CCF1AB8"/>
    <w:rsid w:val="7D7B79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9EE3E3"/>
  <w15:docId w15:val="{CB82FC07-AB74-6E45-A9B8-3D0B207D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CC4"/>
    <w:pPr>
      <w:spacing w:before="240" w:after="240"/>
    </w:pPr>
    <w:rPr>
      <w:rFonts w:cs="Arial"/>
      <w:sz w:val="22"/>
      <w:szCs w:val="22"/>
    </w:rPr>
  </w:style>
  <w:style w:type="paragraph" w:styleId="Heading1">
    <w:name w:val="heading 1"/>
    <w:aliases w:val="OPA Heading 1"/>
    <w:next w:val="Normal"/>
    <w:link w:val="Heading1Char"/>
    <w:uiPriority w:val="1"/>
    <w:qFormat/>
    <w:rsid w:val="00451CC4"/>
    <w:pPr>
      <w:keepNext/>
      <w:spacing w:before="480" w:after="240"/>
      <w:outlineLvl w:val="0"/>
    </w:pPr>
    <w:rPr>
      <w:rFonts w:eastAsia="Times New Roman" w:cs="Arial"/>
      <w:b/>
      <w:bCs/>
      <w:kern w:val="32"/>
      <w:sz w:val="32"/>
      <w:szCs w:val="32"/>
    </w:rPr>
  </w:style>
  <w:style w:type="paragraph" w:styleId="Heading2">
    <w:name w:val="heading 2"/>
    <w:next w:val="Normal"/>
    <w:link w:val="Heading2Char"/>
    <w:uiPriority w:val="9"/>
    <w:unhideWhenUsed/>
    <w:qFormat/>
    <w:rsid w:val="00451CC4"/>
    <w:pPr>
      <w:keepNext/>
      <w:spacing w:before="480" w:after="240"/>
      <w:outlineLvl w:val="1"/>
    </w:pPr>
    <w:rPr>
      <w:rFonts w:eastAsia="Times New Roman" w:cs="Arial"/>
      <w:b/>
      <w:bCs/>
      <w:iCs/>
      <w:sz w:val="28"/>
      <w:szCs w:val="28"/>
    </w:rPr>
  </w:style>
  <w:style w:type="paragraph" w:styleId="Heading3">
    <w:name w:val="heading 3"/>
    <w:aliases w:val="OPA Heading 3"/>
    <w:next w:val="Normal"/>
    <w:link w:val="Heading3Char"/>
    <w:uiPriority w:val="1"/>
    <w:unhideWhenUsed/>
    <w:qFormat/>
    <w:rsid w:val="00451CC4"/>
    <w:pPr>
      <w:keepNext/>
      <w:spacing w:before="240" w:after="240"/>
      <w:outlineLvl w:val="2"/>
    </w:pPr>
    <w:rPr>
      <w:rFonts w:eastAsia="Times New Roman" w:cs="Arial"/>
      <w:b/>
      <w:bCs/>
      <w:sz w:val="26"/>
      <w:szCs w:val="26"/>
    </w:rPr>
  </w:style>
  <w:style w:type="paragraph" w:styleId="Heading4">
    <w:name w:val="heading 4"/>
    <w:next w:val="Normal"/>
    <w:link w:val="Heading4Char"/>
    <w:uiPriority w:val="9"/>
    <w:unhideWhenUsed/>
    <w:qFormat/>
    <w:rsid w:val="00451CC4"/>
    <w:pPr>
      <w:keepNext/>
      <w:spacing w:before="240" w:after="240"/>
      <w:outlineLvl w:val="3"/>
    </w:pPr>
    <w:rPr>
      <w:rFonts w:eastAsia="Times New Roman" w:cs="Arial"/>
      <w:b/>
      <w:bCs/>
      <w:i/>
      <w:sz w:val="24"/>
      <w:szCs w:val="28"/>
    </w:rPr>
  </w:style>
  <w:style w:type="paragraph" w:styleId="Heading5">
    <w:name w:val="heading 5"/>
    <w:next w:val="Normal"/>
    <w:link w:val="Heading5Char"/>
    <w:uiPriority w:val="9"/>
    <w:semiHidden/>
    <w:unhideWhenUsed/>
    <w:qFormat/>
    <w:rsid w:val="00B825F7"/>
    <w:pPr>
      <w:numPr>
        <w:ilvl w:val="4"/>
        <w:numId w:val="3"/>
      </w:numPr>
      <w:spacing w:before="240" w:after="60"/>
      <w:outlineLvl w:val="4"/>
    </w:pPr>
    <w:rPr>
      <w:rFonts w:eastAsia="Times New Roman" w:cs="Arial"/>
      <w:b/>
      <w:bCs/>
      <w:i/>
      <w:iCs/>
      <w:sz w:val="26"/>
      <w:szCs w:val="26"/>
    </w:rPr>
  </w:style>
  <w:style w:type="paragraph" w:styleId="Heading6">
    <w:name w:val="heading 6"/>
    <w:next w:val="Normal"/>
    <w:link w:val="Heading6Char"/>
    <w:uiPriority w:val="9"/>
    <w:semiHidden/>
    <w:unhideWhenUsed/>
    <w:qFormat/>
    <w:rsid w:val="00B825F7"/>
    <w:pPr>
      <w:numPr>
        <w:ilvl w:val="5"/>
        <w:numId w:val="3"/>
      </w:numPr>
      <w:spacing w:before="240" w:after="60"/>
      <w:outlineLvl w:val="5"/>
    </w:pPr>
    <w:rPr>
      <w:rFonts w:eastAsia="Times New Roman" w:cs="Arial"/>
      <w:b/>
      <w:bCs/>
      <w:sz w:val="22"/>
      <w:szCs w:val="22"/>
    </w:rPr>
  </w:style>
  <w:style w:type="paragraph" w:styleId="Heading7">
    <w:name w:val="heading 7"/>
    <w:next w:val="Normal"/>
    <w:link w:val="Heading7Char"/>
    <w:uiPriority w:val="9"/>
    <w:semiHidden/>
    <w:unhideWhenUsed/>
    <w:qFormat/>
    <w:rsid w:val="00B825F7"/>
    <w:pPr>
      <w:numPr>
        <w:ilvl w:val="6"/>
        <w:numId w:val="3"/>
      </w:numPr>
      <w:spacing w:before="240" w:after="60"/>
      <w:outlineLvl w:val="6"/>
    </w:pPr>
    <w:rPr>
      <w:rFonts w:eastAsia="Times New Roman" w:cs="Arial"/>
      <w:sz w:val="24"/>
      <w:szCs w:val="24"/>
    </w:rPr>
  </w:style>
  <w:style w:type="paragraph" w:styleId="Heading8">
    <w:name w:val="heading 8"/>
    <w:next w:val="Normal"/>
    <w:link w:val="Heading8Char"/>
    <w:uiPriority w:val="9"/>
    <w:semiHidden/>
    <w:unhideWhenUsed/>
    <w:qFormat/>
    <w:rsid w:val="00B825F7"/>
    <w:pPr>
      <w:numPr>
        <w:ilvl w:val="7"/>
        <w:numId w:val="3"/>
      </w:numPr>
      <w:spacing w:before="240" w:after="60"/>
      <w:outlineLvl w:val="7"/>
    </w:pPr>
    <w:rPr>
      <w:rFonts w:eastAsia="Times New Roman" w:cs="Arial"/>
      <w:i/>
      <w:iCs/>
      <w:sz w:val="24"/>
      <w:szCs w:val="24"/>
    </w:rPr>
  </w:style>
  <w:style w:type="paragraph" w:styleId="Heading9">
    <w:name w:val="heading 9"/>
    <w:next w:val="Normal"/>
    <w:link w:val="Heading9Char"/>
    <w:uiPriority w:val="9"/>
    <w:semiHidden/>
    <w:unhideWhenUsed/>
    <w:qFormat/>
    <w:rsid w:val="00B825F7"/>
    <w:pPr>
      <w:numPr>
        <w:ilvl w:val="8"/>
        <w:numId w:val="3"/>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PA Heading 1 Char"/>
    <w:link w:val="Heading1"/>
    <w:uiPriority w:val="9"/>
    <w:rsid w:val="00451CC4"/>
    <w:rPr>
      <w:rFonts w:ascii="Arial" w:eastAsia="Times New Roman" w:hAnsi="Arial" w:cs="Arial"/>
      <w:b/>
      <w:bCs/>
      <w:kern w:val="32"/>
      <w:sz w:val="32"/>
      <w:szCs w:val="32"/>
    </w:rPr>
  </w:style>
  <w:style w:type="numbering" w:styleId="111111">
    <w:name w:val="Outline List 2"/>
    <w:uiPriority w:val="99"/>
    <w:semiHidden/>
    <w:unhideWhenUsed/>
    <w:rsid w:val="00B825F7"/>
    <w:pPr>
      <w:numPr>
        <w:numId w:val="1"/>
      </w:numPr>
    </w:pPr>
  </w:style>
  <w:style w:type="numbering" w:styleId="1ai">
    <w:name w:val="Outline List 1"/>
    <w:uiPriority w:val="99"/>
    <w:semiHidden/>
    <w:unhideWhenUsed/>
    <w:rsid w:val="00B825F7"/>
    <w:pPr>
      <w:numPr>
        <w:numId w:val="2"/>
      </w:numPr>
    </w:pPr>
  </w:style>
  <w:style w:type="character" w:customStyle="1" w:styleId="Heading2Char">
    <w:name w:val="Heading 2 Char"/>
    <w:link w:val="Heading2"/>
    <w:uiPriority w:val="9"/>
    <w:rsid w:val="00451CC4"/>
    <w:rPr>
      <w:rFonts w:ascii="Arial" w:eastAsia="Times New Roman" w:hAnsi="Arial" w:cs="Arial"/>
      <w:b/>
      <w:bCs/>
      <w:iCs/>
      <w:sz w:val="28"/>
      <w:szCs w:val="28"/>
    </w:rPr>
  </w:style>
  <w:style w:type="character" w:customStyle="1" w:styleId="Heading3Char">
    <w:name w:val="Heading 3 Char"/>
    <w:aliases w:val="OPA Heading 3 Char"/>
    <w:link w:val="Heading3"/>
    <w:uiPriority w:val="9"/>
    <w:rsid w:val="00451CC4"/>
    <w:rPr>
      <w:rFonts w:ascii="Arial" w:eastAsia="Times New Roman" w:hAnsi="Arial" w:cs="Arial"/>
      <w:b/>
      <w:bCs/>
      <w:sz w:val="26"/>
      <w:szCs w:val="26"/>
    </w:rPr>
  </w:style>
  <w:style w:type="character" w:customStyle="1" w:styleId="Heading4Char">
    <w:name w:val="Heading 4 Char"/>
    <w:link w:val="Heading4"/>
    <w:uiPriority w:val="9"/>
    <w:rsid w:val="00451CC4"/>
    <w:rPr>
      <w:rFonts w:ascii="Arial" w:eastAsia="Times New Roman" w:hAnsi="Arial" w:cs="Arial"/>
      <w:b/>
      <w:bCs/>
      <w:i/>
      <w:sz w:val="24"/>
      <w:szCs w:val="28"/>
    </w:rPr>
  </w:style>
  <w:style w:type="character" w:customStyle="1" w:styleId="Heading5Char">
    <w:name w:val="Heading 5 Char"/>
    <w:link w:val="Heading5"/>
    <w:uiPriority w:val="9"/>
    <w:semiHidden/>
    <w:rsid w:val="00B825F7"/>
    <w:rPr>
      <w:rFonts w:eastAsia="Times New Roman" w:cs="Arial"/>
      <w:b/>
      <w:bCs/>
      <w:i/>
      <w:iCs/>
      <w:sz w:val="26"/>
      <w:szCs w:val="26"/>
    </w:rPr>
  </w:style>
  <w:style w:type="character" w:customStyle="1" w:styleId="Heading6Char">
    <w:name w:val="Heading 6 Char"/>
    <w:link w:val="Heading6"/>
    <w:uiPriority w:val="9"/>
    <w:semiHidden/>
    <w:rsid w:val="00B825F7"/>
    <w:rPr>
      <w:rFonts w:eastAsia="Times New Roman" w:cs="Arial"/>
      <w:b/>
      <w:bCs/>
      <w:sz w:val="22"/>
      <w:szCs w:val="22"/>
    </w:rPr>
  </w:style>
  <w:style w:type="character" w:customStyle="1" w:styleId="Heading7Char">
    <w:name w:val="Heading 7 Char"/>
    <w:link w:val="Heading7"/>
    <w:uiPriority w:val="9"/>
    <w:semiHidden/>
    <w:rsid w:val="00B825F7"/>
    <w:rPr>
      <w:rFonts w:eastAsia="Times New Roman" w:cs="Arial"/>
      <w:sz w:val="24"/>
      <w:szCs w:val="24"/>
    </w:rPr>
  </w:style>
  <w:style w:type="character" w:customStyle="1" w:styleId="Heading8Char">
    <w:name w:val="Heading 8 Char"/>
    <w:link w:val="Heading8"/>
    <w:uiPriority w:val="9"/>
    <w:semiHidden/>
    <w:rsid w:val="00B825F7"/>
    <w:rPr>
      <w:rFonts w:eastAsia="Times New Roman" w:cs="Arial"/>
      <w:i/>
      <w:iCs/>
      <w:sz w:val="24"/>
      <w:szCs w:val="24"/>
    </w:rPr>
  </w:style>
  <w:style w:type="character" w:customStyle="1" w:styleId="Heading9Char">
    <w:name w:val="Heading 9 Char"/>
    <w:link w:val="Heading9"/>
    <w:uiPriority w:val="9"/>
    <w:semiHidden/>
    <w:rsid w:val="00B825F7"/>
    <w:rPr>
      <w:rFonts w:eastAsia="Times New Roman" w:cs="Arial"/>
      <w:sz w:val="22"/>
      <w:szCs w:val="22"/>
    </w:rPr>
  </w:style>
  <w:style w:type="numbering" w:styleId="ArticleSection">
    <w:name w:val="Outline List 3"/>
    <w:uiPriority w:val="99"/>
    <w:semiHidden/>
    <w:unhideWhenUsed/>
    <w:rsid w:val="00B825F7"/>
    <w:pPr>
      <w:numPr>
        <w:numId w:val="3"/>
      </w:numPr>
    </w:pPr>
  </w:style>
  <w:style w:type="paragraph" w:styleId="BalloonText">
    <w:name w:val="Balloon Text"/>
    <w:link w:val="BalloonTextChar"/>
    <w:uiPriority w:val="99"/>
    <w:semiHidden/>
    <w:unhideWhenUsed/>
    <w:rsid w:val="00B825F7"/>
    <w:rPr>
      <w:rFonts w:cs="Arial"/>
      <w:sz w:val="18"/>
      <w:szCs w:val="18"/>
    </w:rPr>
  </w:style>
  <w:style w:type="character" w:customStyle="1" w:styleId="BalloonTextChar">
    <w:name w:val="Balloon Text Char"/>
    <w:link w:val="BalloonText"/>
    <w:uiPriority w:val="99"/>
    <w:semiHidden/>
    <w:rsid w:val="00B825F7"/>
    <w:rPr>
      <w:rFonts w:ascii="Arial" w:hAnsi="Arial" w:cs="Arial"/>
      <w:sz w:val="18"/>
      <w:szCs w:val="18"/>
    </w:rPr>
  </w:style>
  <w:style w:type="paragraph" w:styleId="Bibliography">
    <w:name w:val="Bibliography"/>
    <w:next w:val="Normal"/>
    <w:uiPriority w:val="37"/>
    <w:semiHidden/>
    <w:unhideWhenUsed/>
    <w:rsid w:val="00B825F7"/>
    <w:rPr>
      <w:rFonts w:cs="Arial"/>
      <w:sz w:val="22"/>
      <w:szCs w:val="22"/>
    </w:rPr>
  </w:style>
  <w:style w:type="paragraph" w:styleId="BlockText">
    <w:name w:val="Block Text"/>
    <w:uiPriority w:val="99"/>
    <w:semiHidden/>
    <w:unhideWhenUsed/>
    <w:rsid w:val="00B825F7"/>
    <w:pPr>
      <w:spacing w:after="120"/>
      <w:ind w:left="1440" w:right="1440"/>
    </w:pPr>
    <w:rPr>
      <w:rFonts w:cs="Arial"/>
      <w:sz w:val="22"/>
      <w:szCs w:val="22"/>
    </w:rPr>
  </w:style>
  <w:style w:type="paragraph" w:styleId="BodyText">
    <w:name w:val="Body Text"/>
    <w:link w:val="BodyTextChar"/>
    <w:uiPriority w:val="99"/>
    <w:semiHidden/>
    <w:unhideWhenUsed/>
    <w:rsid w:val="00B825F7"/>
    <w:pPr>
      <w:spacing w:after="120"/>
    </w:pPr>
    <w:rPr>
      <w:rFonts w:cs="Arial"/>
      <w:sz w:val="22"/>
      <w:szCs w:val="22"/>
    </w:rPr>
  </w:style>
  <w:style w:type="character" w:customStyle="1" w:styleId="BodyTextChar">
    <w:name w:val="Body Text Char"/>
    <w:basedOn w:val="DefaultParagraphFont"/>
    <w:link w:val="BodyText"/>
    <w:uiPriority w:val="99"/>
    <w:semiHidden/>
    <w:rsid w:val="00B825F7"/>
    <w:rPr>
      <w:rFonts w:ascii="Arial" w:hAnsi="Arial" w:cs="Arial"/>
    </w:rPr>
  </w:style>
  <w:style w:type="paragraph" w:styleId="BodyText2">
    <w:name w:val="Body Text 2"/>
    <w:link w:val="BodyText2Char"/>
    <w:uiPriority w:val="99"/>
    <w:semiHidden/>
    <w:unhideWhenUsed/>
    <w:rsid w:val="00B825F7"/>
    <w:pPr>
      <w:spacing w:after="120" w:line="480" w:lineRule="auto"/>
    </w:pPr>
    <w:rPr>
      <w:rFonts w:cs="Arial"/>
      <w:sz w:val="22"/>
      <w:szCs w:val="22"/>
    </w:rPr>
  </w:style>
  <w:style w:type="character" w:customStyle="1" w:styleId="BodyText2Char">
    <w:name w:val="Body Text 2 Char"/>
    <w:basedOn w:val="DefaultParagraphFont"/>
    <w:link w:val="BodyText2"/>
    <w:uiPriority w:val="99"/>
    <w:semiHidden/>
    <w:rsid w:val="00B825F7"/>
    <w:rPr>
      <w:rFonts w:ascii="Arial" w:hAnsi="Arial" w:cs="Arial"/>
    </w:rPr>
  </w:style>
  <w:style w:type="paragraph" w:styleId="BodyText3">
    <w:name w:val="Body Text 3"/>
    <w:link w:val="BodyText3Char"/>
    <w:uiPriority w:val="99"/>
    <w:semiHidden/>
    <w:unhideWhenUsed/>
    <w:rsid w:val="00B825F7"/>
    <w:pPr>
      <w:spacing w:after="120"/>
    </w:pPr>
    <w:rPr>
      <w:rFonts w:cs="Arial"/>
      <w:sz w:val="16"/>
      <w:szCs w:val="16"/>
    </w:rPr>
  </w:style>
  <w:style w:type="character" w:customStyle="1" w:styleId="BodyText3Char">
    <w:name w:val="Body Text 3 Char"/>
    <w:link w:val="BodyText3"/>
    <w:uiPriority w:val="99"/>
    <w:semiHidden/>
    <w:rsid w:val="00B825F7"/>
    <w:rPr>
      <w:rFonts w:ascii="Arial" w:hAnsi="Arial" w:cs="Arial"/>
      <w:sz w:val="16"/>
      <w:szCs w:val="16"/>
    </w:rPr>
  </w:style>
  <w:style w:type="paragraph" w:styleId="BodyTextFirstIndent">
    <w:name w:val="Body Text First Indent"/>
    <w:link w:val="BodyTextFirstIndentChar"/>
    <w:uiPriority w:val="99"/>
    <w:semiHidden/>
    <w:unhideWhenUsed/>
    <w:rsid w:val="00B825F7"/>
    <w:pPr>
      <w:ind w:firstLine="210"/>
    </w:pPr>
    <w:rPr>
      <w:rFonts w:cs="Arial"/>
      <w:sz w:val="22"/>
      <w:szCs w:val="22"/>
    </w:rPr>
  </w:style>
  <w:style w:type="character" w:customStyle="1" w:styleId="BodyTextFirstIndentChar">
    <w:name w:val="Body Text First Indent Char"/>
    <w:basedOn w:val="BodyTextChar"/>
    <w:link w:val="BodyTextFirstIndent"/>
    <w:uiPriority w:val="99"/>
    <w:semiHidden/>
    <w:rsid w:val="00B825F7"/>
    <w:rPr>
      <w:rFonts w:ascii="Arial" w:hAnsi="Arial" w:cs="Arial"/>
    </w:rPr>
  </w:style>
  <w:style w:type="paragraph" w:styleId="BodyTextIndent">
    <w:name w:val="Body Text Indent"/>
    <w:link w:val="BodyTextIndentChar"/>
    <w:uiPriority w:val="99"/>
    <w:semiHidden/>
    <w:unhideWhenUsed/>
    <w:rsid w:val="00B825F7"/>
    <w:pPr>
      <w:spacing w:after="120"/>
      <w:ind w:left="283"/>
    </w:pPr>
    <w:rPr>
      <w:rFonts w:cs="Arial"/>
      <w:sz w:val="22"/>
      <w:szCs w:val="22"/>
    </w:rPr>
  </w:style>
  <w:style w:type="character" w:customStyle="1" w:styleId="BodyTextIndentChar">
    <w:name w:val="Body Text Indent Char"/>
    <w:basedOn w:val="DefaultParagraphFont"/>
    <w:link w:val="BodyTextIndent"/>
    <w:uiPriority w:val="99"/>
    <w:semiHidden/>
    <w:rsid w:val="00B825F7"/>
    <w:rPr>
      <w:rFonts w:ascii="Arial" w:hAnsi="Arial" w:cs="Arial"/>
    </w:rPr>
  </w:style>
  <w:style w:type="paragraph" w:styleId="BodyTextFirstIndent2">
    <w:name w:val="Body Text First Indent 2"/>
    <w:link w:val="BodyTextFirstIndent2Char"/>
    <w:uiPriority w:val="99"/>
    <w:semiHidden/>
    <w:unhideWhenUsed/>
    <w:rsid w:val="00B825F7"/>
    <w:pPr>
      <w:ind w:firstLine="210"/>
    </w:pPr>
    <w:rPr>
      <w:rFonts w:cs="Arial"/>
      <w:sz w:val="22"/>
      <w:szCs w:val="22"/>
    </w:rPr>
  </w:style>
  <w:style w:type="character" w:customStyle="1" w:styleId="BodyTextFirstIndent2Char">
    <w:name w:val="Body Text First Indent 2 Char"/>
    <w:basedOn w:val="BodyTextIndentChar"/>
    <w:link w:val="BodyTextFirstIndent2"/>
    <w:uiPriority w:val="99"/>
    <w:semiHidden/>
    <w:rsid w:val="00B825F7"/>
    <w:rPr>
      <w:rFonts w:ascii="Arial" w:hAnsi="Arial" w:cs="Arial"/>
    </w:rPr>
  </w:style>
  <w:style w:type="paragraph" w:styleId="BodyTextIndent2">
    <w:name w:val="Body Text Indent 2"/>
    <w:link w:val="BodyTextIndent2Char"/>
    <w:uiPriority w:val="99"/>
    <w:semiHidden/>
    <w:unhideWhenUsed/>
    <w:rsid w:val="00B825F7"/>
    <w:pPr>
      <w:spacing w:after="120" w:line="480" w:lineRule="auto"/>
      <w:ind w:left="283"/>
    </w:pPr>
    <w:rPr>
      <w:rFonts w:cs="Arial"/>
      <w:sz w:val="22"/>
      <w:szCs w:val="22"/>
    </w:rPr>
  </w:style>
  <w:style w:type="character" w:customStyle="1" w:styleId="BodyTextIndent2Char">
    <w:name w:val="Body Text Indent 2 Char"/>
    <w:basedOn w:val="DefaultParagraphFont"/>
    <w:link w:val="BodyTextIndent2"/>
    <w:uiPriority w:val="99"/>
    <w:semiHidden/>
    <w:rsid w:val="00B825F7"/>
    <w:rPr>
      <w:rFonts w:ascii="Arial" w:hAnsi="Arial" w:cs="Arial"/>
    </w:rPr>
  </w:style>
  <w:style w:type="paragraph" w:styleId="BodyTextIndent3">
    <w:name w:val="Body Text Indent 3"/>
    <w:link w:val="BodyTextIndent3Char"/>
    <w:uiPriority w:val="99"/>
    <w:semiHidden/>
    <w:unhideWhenUsed/>
    <w:rsid w:val="00B825F7"/>
    <w:pPr>
      <w:spacing w:after="120"/>
      <w:ind w:left="283"/>
    </w:pPr>
    <w:rPr>
      <w:rFonts w:cs="Arial"/>
      <w:sz w:val="16"/>
      <w:szCs w:val="16"/>
    </w:rPr>
  </w:style>
  <w:style w:type="character" w:customStyle="1" w:styleId="BodyTextIndent3Char">
    <w:name w:val="Body Text Indent 3 Char"/>
    <w:link w:val="BodyTextIndent3"/>
    <w:uiPriority w:val="99"/>
    <w:semiHidden/>
    <w:rsid w:val="00B825F7"/>
    <w:rPr>
      <w:rFonts w:ascii="Arial" w:hAnsi="Arial" w:cs="Arial"/>
      <w:sz w:val="16"/>
      <w:szCs w:val="16"/>
    </w:rPr>
  </w:style>
  <w:style w:type="character" w:styleId="BookTitle">
    <w:name w:val="Book Title"/>
    <w:uiPriority w:val="33"/>
    <w:qFormat/>
    <w:rsid w:val="00B825F7"/>
    <w:rPr>
      <w:b/>
      <w:bCs/>
      <w:i/>
      <w:iCs/>
      <w:spacing w:val="5"/>
    </w:rPr>
  </w:style>
  <w:style w:type="paragraph" w:styleId="Caption">
    <w:name w:val="caption"/>
    <w:next w:val="Normal"/>
    <w:uiPriority w:val="35"/>
    <w:semiHidden/>
    <w:unhideWhenUsed/>
    <w:qFormat/>
    <w:rsid w:val="00B825F7"/>
    <w:rPr>
      <w:rFonts w:cs="Arial"/>
      <w:b/>
      <w:bCs/>
    </w:rPr>
  </w:style>
  <w:style w:type="paragraph" w:styleId="Closing">
    <w:name w:val="Closing"/>
    <w:link w:val="ClosingChar"/>
    <w:uiPriority w:val="99"/>
    <w:semiHidden/>
    <w:unhideWhenUsed/>
    <w:rsid w:val="00B825F7"/>
    <w:pPr>
      <w:ind w:left="4252"/>
    </w:pPr>
    <w:rPr>
      <w:rFonts w:cs="Arial"/>
      <w:sz w:val="22"/>
      <w:szCs w:val="22"/>
    </w:rPr>
  </w:style>
  <w:style w:type="character" w:customStyle="1" w:styleId="ClosingChar">
    <w:name w:val="Closing Char"/>
    <w:basedOn w:val="DefaultParagraphFont"/>
    <w:link w:val="Closing"/>
    <w:uiPriority w:val="99"/>
    <w:semiHidden/>
    <w:rsid w:val="00B825F7"/>
    <w:rPr>
      <w:rFonts w:ascii="Arial" w:hAnsi="Arial" w:cs="Arial"/>
    </w:rPr>
  </w:style>
  <w:style w:type="table" w:styleId="ColorfulGrid">
    <w:name w:val="Colorful Grid"/>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CCCCCC"/>
    </w:tcPr>
  </w:style>
  <w:style w:type="table" w:styleId="ColorfulGrid-Accent1">
    <w:name w:val="Colorful Grid Accent 1"/>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EEAF6"/>
    </w:tcPr>
  </w:style>
  <w:style w:type="table" w:styleId="ColorfulGrid-Accent2">
    <w:name w:val="Colorful Grid Accent 2"/>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BE4D5"/>
    </w:tcPr>
  </w:style>
  <w:style w:type="table" w:styleId="ColorfulGrid-Accent3">
    <w:name w:val="Colorful Grid Accent 3"/>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DEDED"/>
    </w:tcPr>
  </w:style>
  <w:style w:type="table" w:styleId="ColorfulGrid-Accent4">
    <w:name w:val="Colorful Grid Accent 4"/>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FF2CC"/>
    </w:tcPr>
  </w:style>
  <w:style w:type="table" w:styleId="ColorfulGrid-Accent5">
    <w:name w:val="Colorful Grid Accent 5"/>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9E2F3"/>
    </w:tcPr>
  </w:style>
  <w:style w:type="table" w:styleId="ColorfulGrid-Accent6">
    <w:name w:val="Colorful Grid Accent 6"/>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2EFD9"/>
    </w:tcPr>
  </w:style>
  <w:style w:type="table" w:styleId="ColorfulList">
    <w:name w:val="Colorful List"/>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6E6E6"/>
    </w:tcPr>
  </w:style>
  <w:style w:type="table" w:styleId="ColorfulList-Accent1">
    <w:name w:val="Colorful List Accent 1"/>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EF5FB"/>
    </w:tcPr>
  </w:style>
  <w:style w:type="table" w:styleId="ColorfulList-Accent2">
    <w:name w:val="Colorful List Accent 2"/>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DF2EA"/>
    </w:tcPr>
  </w:style>
  <w:style w:type="table" w:styleId="ColorfulList-Accent3">
    <w:name w:val="Colorful List Accent 3"/>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6F6F6"/>
    </w:tcPr>
  </w:style>
  <w:style w:type="table" w:styleId="ColorfulList-Accent4">
    <w:name w:val="Colorful List Accent 4"/>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FF8E6"/>
    </w:tcPr>
  </w:style>
  <w:style w:type="table" w:styleId="ColorfulList-Accent5">
    <w:name w:val="Colorful List Accent 5"/>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CF1F9"/>
    </w:tcPr>
  </w:style>
  <w:style w:type="table" w:styleId="ColorfulList-Accent6">
    <w:name w:val="Colorful List Accent 6"/>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0F7EC"/>
    </w:tcPr>
  </w:style>
  <w:style w:type="table" w:styleId="ColorfulShading">
    <w:name w:val="Colorful Shading"/>
    <w:uiPriority w:val="71"/>
    <w:semiHidden/>
    <w:unhideWhenUsed/>
    <w:rsid w:val="00B825F7"/>
    <w:rPr>
      <w:color w:val="000000"/>
      <w:sz w:val="22"/>
      <w:szCs w:val="22"/>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0" w:type="dxa"/>
        <w:bottom w:w="0" w:type="dxa"/>
        <w:right w:w="0" w:type="dxa"/>
      </w:tblCellMar>
    </w:tblPr>
    <w:tcPr>
      <w:shd w:val="clear" w:color="auto" w:fill="E6E6E6"/>
    </w:tcPr>
  </w:style>
  <w:style w:type="table" w:styleId="ColorfulShading-Accent1">
    <w:name w:val="Colorful Shading Accent 1"/>
    <w:uiPriority w:val="71"/>
    <w:semiHidden/>
    <w:unhideWhenUsed/>
    <w:rsid w:val="00B825F7"/>
    <w:rPr>
      <w:color w:val="000000"/>
      <w:sz w:val="22"/>
      <w:szCs w:val="22"/>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0" w:type="dxa"/>
        <w:bottom w:w="0" w:type="dxa"/>
        <w:right w:w="0" w:type="dxa"/>
      </w:tblCellMar>
    </w:tblPr>
    <w:tcPr>
      <w:shd w:val="clear" w:color="auto" w:fill="EEF5FB"/>
    </w:tcPr>
  </w:style>
  <w:style w:type="table" w:styleId="ColorfulShading-Accent2">
    <w:name w:val="Colorful Shading Accent 2"/>
    <w:uiPriority w:val="71"/>
    <w:semiHidden/>
    <w:unhideWhenUsed/>
    <w:rsid w:val="00B825F7"/>
    <w:rPr>
      <w:color w:val="000000"/>
      <w:sz w:val="22"/>
      <w:szCs w:val="22"/>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0" w:type="dxa"/>
        <w:bottom w:w="0" w:type="dxa"/>
        <w:right w:w="0" w:type="dxa"/>
      </w:tblCellMar>
    </w:tblPr>
    <w:tcPr>
      <w:shd w:val="clear" w:color="auto" w:fill="FDF2EA"/>
    </w:tcPr>
  </w:style>
  <w:style w:type="table" w:styleId="ColorfulShading-Accent3">
    <w:name w:val="Colorful Shading Accent 3"/>
    <w:uiPriority w:val="71"/>
    <w:semiHidden/>
    <w:unhideWhenUsed/>
    <w:rsid w:val="00B825F7"/>
    <w:rPr>
      <w:color w:val="000000"/>
      <w:sz w:val="22"/>
      <w:szCs w:val="22"/>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0" w:type="dxa"/>
        <w:bottom w:w="0" w:type="dxa"/>
        <w:right w:w="0" w:type="dxa"/>
      </w:tblCellMar>
    </w:tblPr>
    <w:tcPr>
      <w:shd w:val="clear" w:color="auto" w:fill="F6F6F6"/>
    </w:tcPr>
  </w:style>
  <w:style w:type="table" w:styleId="ColorfulShading-Accent4">
    <w:name w:val="Colorful Shading Accent 4"/>
    <w:uiPriority w:val="71"/>
    <w:semiHidden/>
    <w:unhideWhenUsed/>
    <w:rsid w:val="00B825F7"/>
    <w:rPr>
      <w:color w:val="000000"/>
      <w:sz w:val="22"/>
      <w:szCs w:val="22"/>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0" w:type="dxa"/>
        <w:bottom w:w="0" w:type="dxa"/>
        <w:right w:w="0" w:type="dxa"/>
      </w:tblCellMar>
    </w:tblPr>
    <w:tcPr>
      <w:shd w:val="clear" w:color="auto" w:fill="FFF8E6"/>
    </w:tcPr>
  </w:style>
  <w:style w:type="table" w:styleId="ColorfulShading-Accent5">
    <w:name w:val="Colorful Shading Accent 5"/>
    <w:uiPriority w:val="71"/>
    <w:semiHidden/>
    <w:unhideWhenUsed/>
    <w:rsid w:val="00B825F7"/>
    <w:rPr>
      <w:color w:val="000000"/>
      <w:sz w:val="22"/>
      <w:szCs w:val="22"/>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0" w:type="dxa"/>
        <w:bottom w:w="0" w:type="dxa"/>
        <w:right w:w="0" w:type="dxa"/>
      </w:tblCellMar>
    </w:tblPr>
    <w:tcPr>
      <w:shd w:val="clear" w:color="auto" w:fill="ECF1F9"/>
    </w:tcPr>
  </w:style>
  <w:style w:type="table" w:styleId="ColorfulShading-Accent6">
    <w:name w:val="Colorful Shading Accent 6"/>
    <w:uiPriority w:val="71"/>
    <w:semiHidden/>
    <w:unhideWhenUsed/>
    <w:rsid w:val="00B825F7"/>
    <w:rPr>
      <w:color w:val="000000"/>
      <w:sz w:val="22"/>
      <w:szCs w:val="22"/>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CellMar>
        <w:top w:w="0" w:type="dxa"/>
        <w:left w:w="0" w:type="dxa"/>
        <w:bottom w:w="0" w:type="dxa"/>
        <w:right w:w="0" w:type="dxa"/>
      </w:tblCellMar>
    </w:tblPr>
    <w:tcPr>
      <w:shd w:val="clear" w:color="auto" w:fill="F0F7EC"/>
    </w:tcPr>
  </w:style>
  <w:style w:type="character" w:styleId="CommentReference">
    <w:name w:val="annotation reference"/>
    <w:uiPriority w:val="99"/>
    <w:semiHidden/>
    <w:unhideWhenUsed/>
    <w:rsid w:val="00B825F7"/>
    <w:rPr>
      <w:sz w:val="16"/>
      <w:szCs w:val="16"/>
    </w:rPr>
  </w:style>
  <w:style w:type="paragraph" w:styleId="CommentText">
    <w:name w:val="annotation text"/>
    <w:link w:val="CommentTextChar"/>
    <w:uiPriority w:val="99"/>
    <w:unhideWhenUsed/>
    <w:rsid w:val="00B825F7"/>
    <w:rPr>
      <w:rFonts w:cs="Arial"/>
    </w:rPr>
  </w:style>
  <w:style w:type="character" w:customStyle="1" w:styleId="CommentTextChar">
    <w:name w:val="Comment Text Char"/>
    <w:link w:val="CommentText"/>
    <w:uiPriority w:val="99"/>
    <w:rsid w:val="00B825F7"/>
    <w:rPr>
      <w:rFonts w:ascii="Arial" w:hAnsi="Arial" w:cs="Arial"/>
      <w:sz w:val="20"/>
      <w:szCs w:val="20"/>
    </w:rPr>
  </w:style>
  <w:style w:type="paragraph" w:styleId="CommentSubject">
    <w:name w:val="annotation subject"/>
    <w:next w:val="CommentText"/>
    <w:link w:val="CommentSubjectChar"/>
    <w:uiPriority w:val="99"/>
    <w:semiHidden/>
    <w:unhideWhenUsed/>
    <w:rsid w:val="00B825F7"/>
    <w:rPr>
      <w:rFonts w:cs="Arial"/>
      <w:b/>
      <w:bCs/>
    </w:rPr>
  </w:style>
  <w:style w:type="character" w:customStyle="1" w:styleId="CommentSubjectChar">
    <w:name w:val="Comment Subject Char"/>
    <w:link w:val="CommentSubject"/>
    <w:uiPriority w:val="99"/>
    <w:semiHidden/>
    <w:rsid w:val="00B825F7"/>
    <w:rPr>
      <w:rFonts w:ascii="Arial" w:hAnsi="Arial" w:cs="Arial"/>
      <w:b/>
      <w:bCs/>
      <w:sz w:val="20"/>
      <w:szCs w:val="20"/>
    </w:rPr>
  </w:style>
  <w:style w:type="table" w:styleId="DarkList">
    <w:name w:val="Dark List"/>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000000"/>
    </w:tcPr>
  </w:style>
  <w:style w:type="table" w:styleId="DarkList-Accent1">
    <w:name w:val="Dark List Accent 1"/>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5B9BD5"/>
    </w:tcPr>
  </w:style>
  <w:style w:type="table" w:styleId="DarkList-Accent2">
    <w:name w:val="Dark List Accent 2"/>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ED7D31"/>
    </w:tcPr>
  </w:style>
  <w:style w:type="table" w:styleId="DarkList-Accent3">
    <w:name w:val="Dark List Accent 3"/>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A5A5A5"/>
    </w:tcPr>
  </w:style>
  <w:style w:type="table" w:styleId="DarkList-Accent4">
    <w:name w:val="Dark List Accent 4"/>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FFC000"/>
    </w:tcPr>
  </w:style>
  <w:style w:type="table" w:styleId="DarkList-Accent5">
    <w:name w:val="Dark List Accent 5"/>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4472C4"/>
    </w:tcPr>
  </w:style>
  <w:style w:type="table" w:styleId="DarkList-Accent6">
    <w:name w:val="Dark List Accent 6"/>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70AD47"/>
    </w:tcPr>
  </w:style>
  <w:style w:type="paragraph" w:styleId="Date">
    <w:name w:val="Date"/>
    <w:next w:val="Normal"/>
    <w:link w:val="DateChar"/>
    <w:uiPriority w:val="99"/>
    <w:semiHidden/>
    <w:unhideWhenUsed/>
    <w:rsid w:val="00B825F7"/>
    <w:rPr>
      <w:rFonts w:cs="Arial"/>
      <w:sz w:val="22"/>
      <w:szCs w:val="22"/>
    </w:rPr>
  </w:style>
  <w:style w:type="character" w:customStyle="1" w:styleId="DateChar">
    <w:name w:val="Date Char"/>
    <w:basedOn w:val="DefaultParagraphFont"/>
    <w:link w:val="Date"/>
    <w:uiPriority w:val="99"/>
    <w:semiHidden/>
    <w:rsid w:val="00B825F7"/>
    <w:rPr>
      <w:rFonts w:ascii="Arial" w:hAnsi="Arial" w:cs="Arial"/>
    </w:rPr>
  </w:style>
  <w:style w:type="paragraph" w:styleId="DocumentMap">
    <w:name w:val="Document Map"/>
    <w:link w:val="DocumentMapChar"/>
    <w:uiPriority w:val="99"/>
    <w:semiHidden/>
    <w:unhideWhenUsed/>
    <w:rsid w:val="00B825F7"/>
    <w:rPr>
      <w:rFonts w:cs="Arial"/>
      <w:sz w:val="16"/>
      <w:szCs w:val="16"/>
    </w:rPr>
  </w:style>
  <w:style w:type="character" w:customStyle="1" w:styleId="DocumentMapChar">
    <w:name w:val="Document Map Char"/>
    <w:link w:val="DocumentMap"/>
    <w:uiPriority w:val="99"/>
    <w:semiHidden/>
    <w:rsid w:val="00B825F7"/>
    <w:rPr>
      <w:rFonts w:ascii="Arial" w:hAnsi="Arial" w:cs="Arial"/>
      <w:sz w:val="16"/>
      <w:szCs w:val="16"/>
    </w:rPr>
  </w:style>
  <w:style w:type="paragraph" w:styleId="E-mailSignature">
    <w:name w:val="E-mail Signature"/>
    <w:link w:val="E-mailSignatureChar"/>
    <w:uiPriority w:val="99"/>
    <w:semiHidden/>
    <w:unhideWhenUsed/>
    <w:rsid w:val="00B825F7"/>
    <w:rPr>
      <w:rFonts w:cs="Arial"/>
      <w:sz w:val="22"/>
      <w:szCs w:val="22"/>
    </w:rPr>
  </w:style>
  <w:style w:type="character" w:customStyle="1" w:styleId="E-mailSignatureChar">
    <w:name w:val="E-mail Signature Char"/>
    <w:basedOn w:val="DefaultParagraphFont"/>
    <w:link w:val="E-mailSignature"/>
    <w:uiPriority w:val="99"/>
    <w:semiHidden/>
    <w:rsid w:val="00B825F7"/>
    <w:rPr>
      <w:rFonts w:ascii="Arial" w:hAnsi="Arial" w:cs="Arial"/>
    </w:rPr>
  </w:style>
  <w:style w:type="character" w:styleId="Emphasis">
    <w:name w:val="Emphasis"/>
    <w:uiPriority w:val="20"/>
    <w:qFormat/>
    <w:rsid w:val="00B825F7"/>
    <w:rPr>
      <w:i/>
      <w:iCs/>
    </w:rPr>
  </w:style>
  <w:style w:type="character" w:styleId="EndnoteReference">
    <w:name w:val="endnote reference"/>
    <w:uiPriority w:val="99"/>
    <w:semiHidden/>
    <w:unhideWhenUsed/>
    <w:rsid w:val="00B825F7"/>
    <w:rPr>
      <w:vertAlign w:val="superscript"/>
    </w:rPr>
  </w:style>
  <w:style w:type="paragraph" w:styleId="EndnoteText">
    <w:name w:val="endnote text"/>
    <w:link w:val="EndnoteTextChar"/>
    <w:uiPriority w:val="99"/>
    <w:semiHidden/>
    <w:unhideWhenUsed/>
    <w:rsid w:val="00B825F7"/>
    <w:rPr>
      <w:rFonts w:cs="Arial"/>
    </w:rPr>
  </w:style>
  <w:style w:type="character" w:customStyle="1" w:styleId="EndnoteTextChar">
    <w:name w:val="Endnote Text Char"/>
    <w:link w:val="EndnoteText"/>
    <w:uiPriority w:val="99"/>
    <w:semiHidden/>
    <w:rsid w:val="00B825F7"/>
    <w:rPr>
      <w:rFonts w:ascii="Arial" w:hAnsi="Arial" w:cs="Arial"/>
      <w:sz w:val="20"/>
      <w:szCs w:val="20"/>
    </w:rPr>
  </w:style>
  <w:style w:type="paragraph" w:styleId="EnvelopeAddress">
    <w:name w:val="envelope address"/>
    <w:uiPriority w:val="99"/>
    <w:semiHidden/>
    <w:unhideWhenUsed/>
    <w:rsid w:val="00B825F7"/>
    <w:pPr>
      <w:framePr w:w="7920" w:h="1980" w:hRule="exact" w:hSpace="180" w:wrap="auto" w:hAnchor="page" w:xAlign="center" w:yAlign="bottom"/>
      <w:ind w:left="2880"/>
    </w:pPr>
    <w:rPr>
      <w:rFonts w:eastAsia="Times New Roman" w:cs="Arial"/>
      <w:sz w:val="24"/>
      <w:szCs w:val="24"/>
    </w:rPr>
  </w:style>
  <w:style w:type="paragraph" w:styleId="EnvelopeReturn">
    <w:name w:val="envelope return"/>
    <w:uiPriority w:val="99"/>
    <w:semiHidden/>
    <w:unhideWhenUsed/>
    <w:rsid w:val="00B825F7"/>
    <w:rPr>
      <w:rFonts w:eastAsia="Times New Roman" w:cs="Arial"/>
    </w:rPr>
  </w:style>
  <w:style w:type="character" w:styleId="FollowedHyperlink">
    <w:name w:val="FollowedHyperlink"/>
    <w:uiPriority w:val="99"/>
    <w:semiHidden/>
    <w:unhideWhenUsed/>
    <w:rsid w:val="00B825F7"/>
    <w:rPr>
      <w:color w:val="954F72"/>
      <w:u w:val="single"/>
    </w:rPr>
  </w:style>
  <w:style w:type="paragraph" w:styleId="Footer">
    <w:name w:val="footer"/>
    <w:link w:val="FooterChar"/>
    <w:uiPriority w:val="99"/>
    <w:unhideWhenUsed/>
    <w:rsid w:val="00B825F7"/>
    <w:pPr>
      <w:tabs>
        <w:tab w:val="center" w:pos="4513"/>
        <w:tab w:val="right" w:pos="9026"/>
      </w:tabs>
    </w:pPr>
    <w:rPr>
      <w:rFonts w:cs="Arial"/>
      <w:sz w:val="22"/>
      <w:szCs w:val="22"/>
    </w:rPr>
  </w:style>
  <w:style w:type="character" w:customStyle="1" w:styleId="FooterChar">
    <w:name w:val="Footer Char"/>
    <w:basedOn w:val="DefaultParagraphFont"/>
    <w:link w:val="Footer"/>
    <w:uiPriority w:val="99"/>
    <w:rsid w:val="00B825F7"/>
    <w:rPr>
      <w:rFonts w:ascii="Arial" w:hAnsi="Arial" w:cs="Arial"/>
    </w:rPr>
  </w:style>
  <w:style w:type="character" w:styleId="FootnoteReference">
    <w:name w:val="footnote reference"/>
    <w:semiHidden/>
    <w:unhideWhenUsed/>
    <w:rsid w:val="00B825F7"/>
    <w:rPr>
      <w:vertAlign w:val="superscript"/>
    </w:rPr>
  </w:style>
  <w:style w:type="paragraph" w:styleId="FootnoteText">
    <w:name w:val="footnote text"/>
    <w:link w:val="FootnoteTextChar"/>
    <w:uiPriority w:val="99"/>
    <w:unhideWhenUsed/>
    <w:rsid w:val="00B825F7"/>
    <w:rPr>
      <w:rFonts w:cs="Arial"/>
    </w:rPr>
  </w:style>
  <w:style w:type="character" w:customStyle="1" w:styleId="FootnoteTextChar">
    <w:name w:val="Footnote Text Char"/>
    <w:link w:val="FootnoteText"/>
    <w:uiPriority w:val="99"/>
    <w:rsid w:val="00B825F7"/>
    <w:rPr>
      <w:rFonts w:ascii="Arial" w:hAnsi="Arial" w:cs="Arial"/>
      <w:sz w:val="20"/>
      <w:szCs w:val="20"/>
    </w:rPr>
  </w:style>
  <w:style w:type="table" w:customStyle="1" w:styleId="GridTable1Light1">
    <w:name w:val="Grid Table 1 Light1"/>
    <w:uiPriority w:val="46"/>
    <w:rsid w:val="00B825F7"/>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0" w:type="dxa"/>
        <w:bottom w:w="0" w:type="dxa"/>
        <w:right w:w="0" w:type="dxa"/>
      </w:tblCellMar>
    </w:tblPr>
  </w:style>
  <w:style w:type="table" w:customStyle="1" w:styleId="GridTable1Light-Accent11">
    <w:name w:val="Grid Table 1 Light - Accent 11"/>
    <w:uiPriority w:val="46"/>
    <w:rsid w:val="00B825F7"/>
    <w:rPr>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0" w:type="dxa"/>
        <w:bottom w:w="0" w:type="dxa"/>
        <w:right w:w="0" w:type="dxa"/>
      </w:tblCellMar>
    </w:tblPr>
  </w:style>
  <w:style w:type="table" w:customStyle="1" w:styleId="GridTable1Light-Accent21">
    <w:name w:val="Grid Table 1 Light - Accent 21"/>
    <w:uiPriority w:val="46"/>
    <w:rsid w:val="00B825F7"/>
    <w:rPr>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0" w:type="dxa"/>
        <w:bottom w:w="0" w:type="dxa"/>
        <w:right w:w="0" w:type="dxa"/>
      </w:tblCellMar>
    </w:tblPr>
  </w:style>
  <w:style w:type="table" w:customStyle="1" w:styleId="GridTable1Light-Accent31">
    <w:name w:val="Grid Table 1 Light - Accent 31"/>
    <w:uiPriority w:val="46"/>
    <w:rsid w:val="00B825F7"/>
    <w:rPr>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0" w:type="dxa"/>
        <w:bottom w:w="0" w:type="dxa"/>
        <w:right w:w="0" w:type="dxa"/>
      </w:tblCellMar>
    </w:tblPr>
  </w:style>
  <w:style w:type="table" w:customStyle="1" w:styleId="GridTable1Light-Accent41">
    <w:name w:val="Grid Table 1 Light - Accent 41"/>
    <w:uiPriority w:val="46"/>
    <w:rsid w:val="00B825F7"/>
    <w:rPr>
      <w:sz w:val="22"/>
      <w:szCs w:val="22"/>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0" w:type="dxa"/>
        <w:bottom w:w="0" w:type="dxa"/>
        <w:right w:w="0" w:type="dxa"/>
      </w:tblCellMar>
    </w:tblPr>
  </w:style>
  <w:style w:type="table" w:customStyle="1" w:styleId="GridTable1Light-Accent51">
    <w:name w:val="Grid Table 1 Light - Accent 51"/>
    <w:uiPriority w:val="46"/>
    <w:rsid w:val="00B825F7"/>
    <w:rPr>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0" w:type="dxa"/>
        <w:bottom w:w="0" w:type="dxa"/>
        <w:right w:w="0" w:type="dxa"/>
      </w:tblCellMar>
    </w:tblPr>
  </w:style>
  <w:style w:type="table" w:customStyle="1" w:styleId="GridTable1Light-Accent61">
    <w:name w:val="Grid Table 1 Light - Accent 61"/>
    <w:uiPriority w:val="46"/>
    <w:rsid w:val="00B825F7"/>
    <w:rPr>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0" w:type="dxa"/>
        <w:bottom w:w="0" w:type="dxa"/>
        <w:right w:w="0" w:type="dxa"/>
      </w:tblCellMar>
    </w:tblPr>
  </w:style>
  <w:style w:type="table" w:customStyle="1" w:styleId="GridTable21">
    <w:name w:val="Grid Table 21"/>
    <w:uiPriority w:val="47"/>
    <w:rsid w:val="00B825F7"/>
    <w:rPr>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CellMar>
        <w:top w:w="0" w:type="dxa"/>
        <w:left w:w="0" w:type="dxa"/>
        <w:bottom w:w="0" w:type="dxa"/>
        <w:right w:w="0" w:type="dxa"/>
      </w:tblCellMar>
    </w:tblPr>
  </w:style>
  <w:style w:type="table" w:customStyle="1" w:styleId="GridTable2-Accent11">
    <w:name w:val="Grid Table 2 - Accent 11"/>
    <w:uiPriority w:val="47"/>
    <w:rsid w:val="00B825F7"/>
    <w:rPr>
      <w:sz w:val="22"/>
      <w:szCs w:val="22"/>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0" w:type="dxa"/>
        <w:bottom w:w="0" w:type="dxa"/>
        <w:right w:w="0" w:type="dxa"/>
      </w:tblCellMar>
    </w:tblPr>
  </w:style>
  <w:style w:type="table" w:customStyle="1" w:styleId="GridTable2-Accent21">
    <w:name w:val="Grid Table 2 - Accent 21"/>
    <w:uiPriority w:val="47"/>
    <w:rsid w:val="00B825F7"/>
    <w:rPr>
      <w:sz w:val="22"/>
      <w:szCs w:val="22"/>
    </w:rPr>
    <w:tblPr>
      <w:tblStyleRowBandSize w:val="1"/>
      <w:tblStyleColBandSize w:val="1"/>
      <w:tblBorders>
        <w:top w:val="single" w:sz="2" w:space="0" w:color="F4B083"/>
        <w:bottom w:val="single" w:sz="2" w:space="0" w:color="F4B083"/>
        <w:insideH w:val="single" w:sz="2" w:space="0" w:color="F4B083"/>
        <w:insideV w:val="single" w:sz="2" w:space="0" w:color="F4B083"/>
      </w:tblBorders>
      <w:tblCellMar>
        <w:top w:w="0" w:type="dxa"/>
        <w:left w:w="0" w:type="dxa"/>
        <w:bottom w:w="0" w:type="dxa"/>
        <w:right w:w="0" w:type="dxa"/>
      </w:tblCellMar>
    </w:tblPr>
  </w:style>
  <w:style w:type="table" w:customStyle="1" w:styleId="GridTable2-Accent31">
    <w:name w:val="Grid Table 2 - Accent 31"/>
    <w:uiPriority w:val="47"/>
    <w:rsid w:val="00B825F7"/>
    <w:rPr>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0" w:type="dxa"/>
        <w:bottom w:w="0" w:type="dxa"/>
        <w:right w:w="0" w:type="dxa"/>
      </w:tblCellMar>
    </w:tblPr>
  </w:style>
  <w:style w:type="table" w:customStyle="1" w:styleId="GridTable2-Accent41">
    <w:name w:val="Grid Table 2 - Accent 41"/>
    <w:uiPriority w:val="47"/>
    <w:rsid w:val="00B825F7"/>
    <w:rPr>
      <w:sz w:val="22"/>
      <w:szCs w:val="22"/>
    </w:rPr>
    <w:tblPr>
      <w:tblStyleRowBandSize w:val="1"/>
      <w:tblStyleColBandSize w:val="1"/>
      <w:tblBorders>
        <w:top w:val="single" w:sz="2" w:space="0" w:color="FFD966"/>
        <w:bottom w:val="single" w:sz="2" w:space="0" w:color="FFD966"/>
        <w:insideH w:val="single" w:sz="2" w:space="0" w:color="FFD966"/>
        <w:insideV w:val="single" w:sz="2" w:space="0" w:color="FFD966"/>
      </w:tblBorders>
      <w:tblCellMar>
        <w:top w:w="0" w:type="dxa"/>
        <w:left w:w="0" w:type="dxa"/>
        <w:bottom w:w="0" w:type="dxa"/>
        <w:right w:w="0" w:type="dxa"/>
      </w:tblCellMar>
    </w:tblPr>
  </w:style>
  <w:style w:type="table" w:customStyle="1" w:styleId="GridTable2-Accent51">
    <w:name w:val="Grid Table 2 - Accent 51"/>
    <w:uiPriority w:val="47"/>
    <w:rsid w:val="00B825F7"/>
    <w:rPr>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CellMar>
        <w:top w:w="0" w:type="dxa"/>
        <w:left w:w="0" w:type="dxa"/>
        <w:bottom w:w="0" w:type="dxa"/>
        <w:right w:w="0" w:type="dxa"/>
      </w:tblCellMar>
    </w:tblPr>
  </w:style>
  <w:style w:type="table" w:customStyle="1" w:styleId="GridTable2-Accent61">
    <w:name w:val="Grid Table 2 - Accent 61"/>
    <w:uiPriority w:val="47"/>
    <w:rsid w:val="00B825F7"/>
    <w:rPr>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CellMar>
        <w:top w:w="0" w:type="dxa"/>
        <w:left w:w="0" w:type="dxa"/>
        <w:bottom w:w="0" w:type="dxa"/>
        <w:right w:w="0" w:type="dxa"/>
      </w:tblCellMar>
    </w:tblPr>
  </w:style>
  <w:style w:type="table" w:customStyle="1" w:styleId="GridTable31">
    <w:name w:val="Grid Table 31"/>
    <w:uiPriority w:val="48"/>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customStyle="1" w:styleId="GridTable3-Accent11">
    <w:name w:val="Grid Table 3 - Accent 11"/>
    <w:uiPriority w:val="48"/>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customStyle="1" w:styleId="GridTable3-Accent21">
    <w:name w:val="Grid Table 3 - Accent 21"/>
    <w:uiPriority w:val="48"/>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customStyle="1" w:styleId="GridTable3-Accent31">
    <w:name w:val="Grid Table 3 - Accent 31"/>
    <w:uiPriority w:val="48"/>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customStyle="1" w:styleId="GridTable3-Accent41">
    <w:name w:val="Grid Table 3 - Accent 41"/>
    <w:uiPriority w:val="48"/>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customStyle="1" w:styleId="GridTable3-Accent51">
    <w:name w:val="Grid Table 3 - Accent 51"/>
    <w:uiPriority w:val="48"/>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customStyle="1" w:styleId="GridTable3-Accent61">
    <w:name w:val="Grid Table 3 - Accent 61"/>
    <w:uiPriority w:val="48"/>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customStyle="1" w:styleId="GridTable41">
    <w:name w:val="Grid Table 41"/>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customStyle="1" w:styleId="GridTable4-Accent11">
    <w:name w:val="Grid Table 4 - Accent 1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customStyle="1" w:styleId="GridTable4-Accent21">
    <w:name w:val="Grid Table 4 - Accent 21"/>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customStyle="1" w:styleId="GridTable4-Accent31">
    <w:name w:val="Grid Table 4 - Accent 31"/>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customStyle="1" w:styleId="GridTable4-Accent41">
    <w:name w:val="Grid Table 4 - Accent 41"/>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customStyle="1" w:styleId="GridTable4-Accent51">
    <w:name w:val="Grid Table 4 - Accent 51"/>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customStyle="1" w:styleId="GridTable4-Accent61">
    <w:name w:val="Grid Table 4 - Accent 61"/>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customStyle="1" w:styleId="GridTable5Dark1">
    <w:name w:val="Grid Table 5 Dark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CCCCCC"/>
    </w:tcPr>
  </w:style>
  <w:style w:type="table" w:customStyle="1" w:styleId="GridTable5Dark-Accent11">
    <w:name w:val="Grid Table 5 Dark - Accent 1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EEAF6"/>
    </w:tcPr>
  </w:style>
  <w:style w:type="table" w:customStyle="1" w:styleId="GridTable5Dark-Accent21">
    <w:name w:val="Grid Table 5 Dark - Accent 2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BE4D5"/>
    </w:tcPr>
  </w:style>
  <w:style w:type="table" w:customStyle="1" w:styleId="GridTable5Dark-Accent31">
    <w:name w:val="Grid Table 5 Dark - Accent 3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DEDED"/>
    </w:tcPr>
  </w:style>
  <w:style w:type="table" w:customStyle="1" w:styleId="GridTable5Dark-Accent41">
    <w:name w:val="Grid Table 5 Dark - Accent 4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FF2CC"/>
    </w:tcPr>
  </w:style>
  <w:style w:type="table" w:customStyle="1" w:styleId="GridTable5Dark-Accent51">
    <w:name w:val="Grid Table 5 Dark - Accent 5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9E2F3"/>
    </w:tcPr>
  </w:style>
  <w:style w:type="table" w:customStyle="1" w:styleId="GridTable5Dark-Accent61">
    <w:name w:val="Grid Table 5 Dark - Accent 6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2EFD9"/>
    </w:tcPr>
  </w:style>
  <w:style w:type="table" w:customStyle="1" w:styleId="GridTable6Colorful1">
    <w:name w:val="Grid Table 6 Colorful1"/>
    <w:uiPriority w:val="51"/>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customStyle="1" w:styleId="GridTable6Colorful-Accent11">
    <w:name w:val="Grid Table 6 Colorful - Accent 11"/>
    <w:uiPriority w:val="51"/>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customStyle="1" w:styleId="GridTable6Colorful-Accent21">
    <w:name w:val="Grid Table 6 Colorful - Accent 21"/>
    <w:uiPriority w:val="51"/>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customStyle="1" w:styleId="GridTable6Colorful-Accent31">
    <w:name w:val="Grid Table 6 Colorful - Accent 31"/>
    <w:uiPriority w:val="51"/>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customStyle="1" w:styleId="GridTable6Colorful-Accent41">
    <w:name w:val="Grid Table 6 Colorful - Accent 41"/>
    <w:uiPriority w:val="51"/>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customStyle="1" w:styleId="GridTable6Colorful-Accent51">
    <w:name w:val="Grid Table 6 Colorful - Accent 51"/>
    <w:uiPriority w:val="51"/>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customStyle="1" w:styleId="GridTable6Colorful-Accent61">
    <w:name w:val="Grid Table 6 Colorful - Accent 61"/>
    <w:uiPriority w:val="51"/>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customStyle="1" w:styleId="GridTable7Colorful1">
    <w:name w:val="Grid Table 7 Colorful1"/>
    <w:uiPriority w:val="52"/>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customStyle="1" w:styleId="GridTable7Colorful-Accent11">
    <w:name w:val="Grid Table 7 Colorful - Accent 11"/>
    <w:uiPriority w:val="52"/>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customStyle="1" w:styleId="GridTable7Colorful-Accent21">
    <w:name w:val="Grid Table 7 Colorful - Accent 21"/>
    <w:uiPriority w:val="52"/>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customStyle="1" w:styleId="GridTable7Colorful-Accent31">
    <w:name w:val="Grid Table 7 Colorful - Accent 31"/>
    <w:uiPriority w:val="52"/>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customStyle="1" w:styleId="GridTable7Colorful-Accent41">
    <w:name w:val="Grid Table 7 Colorful - Accent 41"/>
    <w:uiPriority w:val="52"/>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customStyle="1" w:styleId="GridTable7Colorful-Accent51">
    <w:name w:val="Grid Table 7 Colorful - Accent 51"/>
    <w:uiPriority w:val="52"/>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customStyle="1" w:styleId="GridTable7Colorful-Accent61">
    <w:name w:val="Grid Table 7 Colorful - Accent 61"/>
    <w:uiPriority w:val="52"/>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paragraph" w:styleId="Header">
    <w:name w:val="header"/>
    <w:link w:val="HeaderChar"/>
    <w:uiPriority w:val="99"/>
    <w:unhideWhenUsed/>
    <w:rsid w:val="00B825F7"/>
    <w:pPr>
      <w:tabs>
        <w:tab w:val="center" w:pos="4513"/>
        <w:tab w:val="right" w:pos="9026"/>
      </w:tabs>
    </w:pPr>
    <w:rPr>
      <w:rFonts w:cs="Arial"/>
      <w:sz w:val="22"/>
      <w:szCs w:val="22"/>
    </w:rPr>
  </w:style>
  <w:style w:type="character" w:customStyle="1" w:styleId="HeaderChar">
    <w:name w:val="Header Char"/>
    <w:basedOn w:val="DefaultParagraphFont"/>
    <w:link w:val="Header"/>
    <w:uiPriority w:val="99"/>
    <w:rsid w:val="00B825F7"/>
    <w:rPr>
      <w:rFonts w:ascii="Arial" w:hAnsi="Arial" w:cs="Arial"/>
    </w:rPr>
  </w:style>
  <w:style w:type="character" w:styleId="HTMLAcronym">
    <w:name w:val="HTML Acronym"/>
    <w:uiPriority w:val="99"/>
    <w:semiHidden/>
    <w:unhideWhenUsed/>
    <w:rsid w:val="00B825F7"/>
  </w:style>
  <w:style w:type="paragraph" w:styleId="HTMLAddress">
    <w:name w:val="HTML Address"/>
    <w:link w:val="HTMLAddressChar"/>
    <w:uiPriority w:val="99"/>
    <w:semiHidden/>
    <w:unhideWhenUsed/>
    <w:rsid w:val="00B825F7"/>
    <w:rPr>
      <w:rFonts w:cs="Arial"/>
      <w:i/>
      <w:iCs/>
      <w:sz w:val="22"/>
      <w:szCs w:val="22"/>
    </w:rPr>
  </w:style>
  <w:style w:type="character" w:customStyle="1" w:styleId="HTMLAddressChar">
    <w:name w:val="HTML Address Char"/>
    <w:link w:val="HTMLAddress"/>
    <w:uiPriority w:val="99"/>
    <w:semiHidden/>
    <w:rsid w:val="00B825F7"/>
    <w:rPr>
      <w:rFonts w:ascii="Arial" w:hAnsi="Arial" w:cs="Arial"/>
      <w:i/>
      <w:iCs/>
    </w:rPr>
  </w:style>
  <w:style w:type="character" w:styleId="HTMLCite">
    <w:name w:val="HTML Cite"/>
    <w:uiPriority w:val="99"/>
    <w:semiHidden/>
    <w:unhideWhenUsed/>
    <w:rsid w:val="00B825F7"/>
    <w:rPr>
      <w:i/>
      <w:iCs/>
    </w:rPr>
  </w:style>
  <w:style w:type="character" w:styleId="HTMLCode">
    <w:name w:val="HTML Code"/>
    <w:uiPriority w:val="99"/>
    <w:semiHidden/>
    <w:unhideWhenUsed/>
    <w:rsid w:val="00B825F7"/>
    <w:rPr>
      <w:sz w:val="20"/>
      <w:szCs w:val="20"/>
    </w:rPr>
  </w:style>
  <w:style w:type="character" w:styleId="HTMLDefinition">
    <w:name w:val="HTML Definition"/>
    <w:uiPriority w:val="99"/>
    <w:semiHidden/>
    <w:unhideWhenUsed/>
    <w:rsid w:val="00B825F7"/>
    <w:rPr>
      <w:i/>
      <w:iCs/>
    </w:rPr>
  </w:style>
  <w:style w:type="character" w:styleId="HTMLKeyboard">
    <w:name w:val="HTML Keyboard"/>
    <w:uiPriority w:val="99"/>
    <w:semiHidden/>
    <w:unhideWhenUsed/>
    <w:rsid w:val="00B825F7"/>
    <w:rPr>
      <w:sz w:val="20"/>
      <w:szCs w:val="20"/>
    </w:rPr>
  </w:style>
  <w:style w:type="paragraph" w:styleId="HTMLPreformatted">
    <w:name w:val="HTML Preformatted"/>
    <w:link w:val="HTMLPreformattedChar"/>
    <w:uiPriority w:val="99"/>
    <w:semiHidden/>
    <w:unhideWhenUsed/>
    <w:rsid w:val="00B825F7"/>
    <w:rPr>
      <w:rFonts w:cs="Arial"/>
    </w:rPr>
  </w:style>
  <w:style w:type="character" w:customStyle="1" w:styleId="HTMLPreformattedChar">
    <w:name w:val="HTML Preformatted Char"/>
    <w:link w:val="HTMLPreformatted"/>
    <w:uiPriority w:val="99"/>
    <w:semiHidden/>
    <w:rsid w:val="00B825F7"/>
    <w:rPr>
      <w:rFonts w:ascii="Arial" w:hAnsi="Arial" w:cs="Arial"/>
      <w:sz w:val="20"/>
      <w:szCs w:val="20"/>
    </w:rPr>
  </w:style>
  <w:style w:type="character" w:styleId="HTMLSample">
    <w:name w:val="HTML Sample"/>
    <w:uiPriority w:val="99"/>
    <w:semiHidden/>
    <w:unhideWhenUsed/>
    <w:rsid w:val="00B825F7"/>
  </w:style>
  <w:style w:type="character" w:styleId="HTMLTypewriter">
    <w:name w:val="HTML Typewriter"/>
    <w:uiPriority w:val="99"/>
    <w:semiHidden/>
    <w:unhideWhenUsed/>
    <w:rsid w:val="00B825F7"/>
    <w:rPr>
      <w:sz w:val="20"/>
      <w:szCs w:val="20"/>
    </w:rPr>
  </w:style>
  <w:style w:type="character" w:styleId="HTMLVariable">
    <w:name w:val="HTML Variable"/>
    <w:uiPriority w:val="99"/>
    <w:semiHidden/>
    <w:unhideWhenUsed/>
    <w:rsid w:val="00B825F7"/>
    <w:rPr>
      <w:i/>
      <w:iCs/>
    </w:rPr>
  </w:style>
  <w:style w:type="character" w:styleId="Hyperlink">
    <w:name w:val="Hyperlink"/>
    <w:uiPriority w:val="99"/>
    <w:unhideWhenUsed/>
    <w:rsid w:val="00B825F7"/>
    <w:rPr>
      <w:color w:val="0563C1"/>
      <w:u w:val="single"/>
    </w:rPr>
  </w:style>
  <w:style w:type="paragraph" w:styleId="Index1">
    <w:name w:val="index 1"/>
    <w:next w:val="Normal"/>
    <w:autoRedefine/>
    <w:uiPriority w:val="99"/>
    <w:semiHidden/>
    <w:unhideWhenUsed/>
    <w:rsid w:val="00B825F7"/>
    <w:pPr>
      <w:ind w:left="220" w:hanging="220"/>
    </w:pPr>
    <w:rPr>
      <w:rFonts w:cs="Arial"/>
      <w:sz w:val="22"/>
      <w:szCs w:val="22"/>
    </w:rPr>
  </w:style>
  <w:style w:type="paragraph" w:styleId="Index2">
    <w:name w:val="index 2"/>
    <w:next w:val="Normal"/>
    <w:autoRedefine/>
    <w:uiPriority w:val="99"/>
    <w:semiHidden/>
    <w:unhideWhenUsed/>
    <w:rsid w:val="00B825F7"/>
    <w:pPr>
      <w:ind w:left="440" w:hanging="220"/>
    </w:pPr>
    <w:rPr>
      <w:rFonts w:cs="Arial"/>
      <w:sz w:val="22"/>
      <w:szCs w:val="22"/>
    </w:rPr>
  </w:style>
  <w:style w:type="paragraph" w:styleId="Index3">
    <w:name w:val="index 3"/>
    <w:next w:val="Normal"/>
    <w:autoRedefine/>
    <w:uiPriority w:val="99"/>
    <w:semiHidden/>
    <w:unhideWhenUsed/>
    <w:rsid w:val="00B825F7"/>
    <w:pPr>
      <w:ind w:left="660" w:hanging="220"/>
    </w:pPr>
    <w:rPr>
      <w:rFonts w:cs="Arial"/>
      <w:sz w:val="22"/>
      <w:szCs w:val="22"/>
    </w:rPr>
  </w:style>
  <w:style w:type="paragraph" w:styleId="Index4">
    <w:name w:val="index 4"/>
    <w:next w:val="Normal"/>
    <w:autoRedefine/>
    <w:uiPriority w:val="99"/>
    <w:semiHidden/>
    <w:unhideWhenUsed/>
    <w:rsid w:val="00B825F7"/>
    <w:pPr>
      <w:ind w:left="880" w:hanging="220"/>
    </w:pPr>
    <w:rPr>
      <w:rFonts w:cs="Arial"/>
      <w:sz w:val="22"/>
      <w:szCs w:val="22"/>
    </w:rPr>
  </w:style>
  <w:style w:type="paragraph" w:styleId="Index5">
    <w:name w:val="index 5"/>
    <w:next w:val="Normal"/>
    <w:autoRedefine/>
    <w:uiPriority w:val="99"/>
    <w:semiHidden/>
    <w:unhideWhenUsed/>
    <w:rsid w:val="00B825F7"/>
    <w:pPr>
      <w:ind w:left="1100" w:hanging="220"/>
    </w:pPr>
    <w:rPr>
      <w:rFonts w:cs="Arial"/>
      <w:sz w:val="22"/>
      <w:szCs w:val="22"/>
    </w:rPr>
  </w:style>
  <w:style w:type="paragraph" w:styleId="Index6">
    <w:name w:val="index 6"/>
    <w:next w:val="Normal"/>
    <w:autoRedefine/>
    <w:uiPriority w:val="99"/>
    <w:semiHidden/>
    <w:unhideWhenUsed/>
    <w:rsid w:val="00B825F7"/>
    <w:pPr>
      <w:ind w:left="1320" w:hanging="220"/>
    </w:pPr>
    <w:rPr>
      <w:rFonts w:cs="Arial"/>
      <w:sz w:val="22"/>
      <w:szCs w:val="22"/>
    </w:rPr>
  </w:style>
  <w:style w:type="paragraph" w:styleId="Index7">
    <w:name w:val="index 7"/>
    <w:next w:val="Normal"/>
    <w:autoRedefine/>
    <w:uiPriority w:val="99"/>
    <w:semiHidden/>
    <w:unhideWhenUsed/>
    <w:rsid w:val="00B825F7"/>
    <w:pPr>
      <w:ind w:left="1540" w:hanging="220"/>
    </w:pPr>
    <w:rPr>
      <w:rFonts w:cs="Arial"/>
      <w:sz w:val="22"/>
      <w:szCs w:val="22"/>
    </w:rPr>
  </w:style>
  <w:style w:type="paragraph" w:styleId="Index8">
    <w:name w:val="index 8"/>
    <w:next w:val="Normal"/>
    <w:autoRedefine/>
    <w:uiPriority w:val="99"/>
    <w:semiHidden/>
    <w:unhideWhenUsed/>
    <w:rsid w:val="00B825F7"/>
    <w:pPr>
      <w:ind w:left="1760" w:hanging="220"/>
    </w:pPr>
    <w:rPr>
      <w:rFonts w:cs="Arial"/>
      <w:sz w:val="22"/>
      <w:szCs w:val="22"/>
    </w:rPr>
  </w:style>
  <w:style w:type="paragraph" w:styleId="Index9">
    <w:name w:val="index 9"/>
    <w:next w:val="Normal"/>
    <w:autoRedefine/>
    <w:uiPriority w:val="99"/>
    <w:semiHidden/>
    <w:unhideWhenUsed/>
    <w:rsid w:val="00B825F7"/>
    <w:pPr>
      <w:ind w:left="1980" w:hanging="220"/>
    </w:pPr>
    <w:rPr>
      <w:rFonts w:cs="Arial"/>
      <w:sz w:val="22"/>
      <w:szCs w:val="22"/>
    </w:rPr>
  </w:style>
  <w:style w:type="paragraph" w:styleId="IndexHeading">
    <w:name w:val="index heading"/>
    <w:next w:val="Index1"/>
    <w:uiPriority w:val="99"/>
    <w:semiHidden/>
    <w:unhideWhenUsed/>
    <w:rsid w:val="00B825F7"/>
    <w:rPr>
      <w:rFonts w:eastAsia="Times New Roman" w:cs="Arial"/>
      <w:b/>
      <w:bCs/>
      <w:sz w:val="22"/>
      <w:szCs w:val="22"/>
    </w:rPr>
  </w:style>
  <w:style w:type="character" w:styleId="IntenseEmphasis">
    <w:name w:val="Intense Emphasis"/>
    <w:uiPriority w:val="21"/>
    <w:qFormat/>
    <w:rsid w:val="00B825F7"/>
    <w:rPr>
      <w:i/>
      <w:iCs/>
      <w:color w:val="5B9BD5"/>
    </w:rPr>
  </w:style>
  <w:style w:type="paragraph" w:styleId="IntenseQuote">
    <w:name w:val="Intense Quote"/>
    <w:next w:val="Normal"/>
    <w:link w:val="IntenseQuoteChar"/>
    <w:uiPriority w:val="30"/>
    <w:qFormat/>
    <w:rsid w:val="00451CC4"/>
    <w:pPr>
      <w:pBdr>
        <w:top w:val="single" w:sz="4" w:space="10" w:color="5B9BD5"/>
        <w:bottom w:val="single" w:sz="4" w:space="10" w:color="5B9BD5"/>
      </w:pBdr>
      <w:spacing w:before="360" w:after="360"/>
      <w:ind w:left="864" w:right="864"/>
      <w:jc w:val="center"/>
    </w:pPr>
    <w:rPr>
      <w:rFonts w:cs="Arial"/>
      <w:i/>
      <w:iCs/>
      <w:color w:val="006DA5"/>
      <w:sz w:val="22"/>
      <w:szCs w:val="22"/>
    </w:rPr>
  </w:style>
  <w:style w:type="character" w:customStyle="1" w:styleId="IntenseQuoteChar">
    <w:name w:val="Intense Quote Char"/>
    <w:link w:val="IntenseQuote"/>
    <w:uiPriority w:val="30"/>
    <w:rsid w:val="00451CC4"/>
    <w:rPr>
      <w:rFonts w:ascii="Arial" w:hAnsi="Arial" w:cs="Arial"/>
      <w:i/>
      <w:iCs/>
      <w:color w:val="006DA5"/>
    </w:rPr>
  </w:style>
  <w:style w:type="character" w:styleId="IntenseReference">
    <w:name w:val="Intense Reference"/>
    <w:uiPriority w:val="32"/>
    <w:qFormat/>
    <w:rsid w:val="00B825F7"/>
    <w:rPr>
      <w:b/>
      <w:bCs/>
      <w:smallCaps/>
      <w:color w:val="5B9BD5"/>
      <w:spacing w:val="5"/>
    </w:rPr>
  </w:style>
  <w:style w:type="table" w:styleId="LightGrid">
    <w:name w:val="Light Grid"/>
    <w:uiPriority w:val="62"/>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styleId="LightGrid-Accent1">
    <w:name w:val="Light Grid Accent 1"/>
    <w:uiPriority w:val="62"/>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style>
  <w:style w:type="table" w:styleId="LightGrid-Accent2">
    <w:name w:val="Light Grid Accent 2"/>
    <w:uiPriority w:val="62"/>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style>
  <w:style w:type="table" w:styleId="LightGrid-Accent3">
    <w:name w:val="Light Grid Accent 3"/>
    <w:uiPriority w:val="62"/>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style>
  <w:style w:type="table" w:styleId="LightGrid-Accent4">
    <w:name w:val="Light Grid Accent 4"/>
    <w:uiPriority w:val="62"/>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style>
  <w:style w:type="table" w:styleId="LightGrid-Accent5">
    <w:name w:val="Light Grid Accent 5"/>
    <w:uiPriority w:val="62"/>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style>
  <w:style w:type="table" w:styleId="LightGrid-Accent6">
    <w:name w:val="Light Grid Accent 6"/>
    <w:uiPriority w:val="62"/>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style>
  <w:style w:type="table" w:styleId="LightList">
    <w:name w:val="Light List"/>
    <w:uiPriority w:val="61"/>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LightList-Accent1">
    <w:name w:val="Light List Accent 1"/>
    <w:uiPriority w:val="61"/>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LightList-Accent2">
    <w:name w:val="Light List Accent 2"/>
    <w:uiPriority w:val="61"/>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LightList-Accent3">
    <w:name w:val="Light List Accent 3"/>
    <w:uiPriority w:val="61"/>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LightList-Accent4">
    <w:name w:val="Light List Accent 4"/>
    <w:uiPriority w:val="61"/>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LightList-Accent5">
    <w:name w:val="Light List Accent 5"/>
    <w:uiPriority w:val="61"/>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LightList-Accent6">
    <w:name w:val="Light List Accent 6"/>
    <w:uiPriority w:val="61"/>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LightShading">
    <w:name w:val="Light Shading"/>
    <w:uiPriority w:val="60"/>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LightShading-Accent1">
    <w:name w:val="Light Shading Accent 1"/>
    <w:uiPriority w:val="60"/>
    <w:semiHidden/>
    <w:unhideWhenUsed/>
    <w:rsid w:val="00B825F7"/>
    <w:rPr>
      <w:color w:val="2E74B5"/>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LightShading-Accent2">
    <w:name w:val="Light Shading Accent 2"/>
    <w:uiPriority w:val="60"/>
    <w:semiHidden/>
    <w:unhideWhenUsed/>
    <w:rsid w:val="00B825F7"/>
    <w:rPr>
      <w:color w:val="C45911"/>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LightShading-Accent3">
    <w:name w:val="Light Shading Accent 3"/>
    <w:uiPriority w:val="60"/>
    <w:semiHidden/>
    <w:unhideWhenUsed/>
    <w:rsid w:val="00B825F7"/>
    <w:rPr>
      <w:color w:val="7B7B7B"/>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LightShading-Accent4">
    <w:name w:val="Light Shading Accent 4"/>
    <w:uiPriority w:val="60"/>
    <w:semiHidden/>
    <w:unhideWhenUsed/>
    <w:rsid w:val="00B825F7"/>
    <w:rPr>
      <w:color w:val="BF8F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LightShading-Accent5">
    <w:name w:val="Light Shading Accent 5"/>
    <w:uiPriority w:val="60"/>
    <w:semiHidden/>
    <w:unhideWhenUsed/>
    <w:rsid w:val="00B825F7"/>
    <w:rPr>
      <w:color w:val="2F5496"/>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LightShading-Accent6">
    <w:name w:val="Light Shading Accent 6"/>
    <w:uiPriority w:val="60"/>
    <w:semiHidden/>
    <w:unhideWhenUsed/>
    <w:rsid w:val="00B825F7"/>
    <w:rPr>
      <w:color w:val="538135"/>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character" w:styleId="LineNumber">
    <w:name w:val="line number"/>
    <w:uiPriority w:val="99"/>
    <w:semiHidden/>
    <w:unhideWhenUsed/>
    <w:rsid w:val="00B825F7"/>
  </w:style>
  <w:style w:type="paragraph" w:styleId="List">
    <w:name w:val="List"/>
    <w:uiPriority w:val="99"/>
    <w:semiHidden/>
    <w:unhideWhenUsed/>
    <w:rsid w:val="00B825F7"/>
    <w:pPr>
      <w:ind w:left="283" w:hanging="283"/>
      <w:contextualSpacing/>
    </w:pPr>
    <w:rPr>
      <w:rFonts w:cs="Arial"/>
      <w:sz w:val="22"/>
      <w:szCs w:val="22"/>
    </w:rPr>
  </w:style>
  <w:style w:type="paragraph" w:styleId="List2">
    <w:name w:val="List 2"/>
    <w:uiPriority w:val="99"/>
    <w:semiHidden/>
    <w:unhideWhenUsed/>
    <w:rsid w:val="00B825F7"/>
    <w:pPr>
      <w:ind w:left="566" w:hanging="283"/>
      <w:contextualSpacing/>
    </w:pPr>
    <w:rPr>
      <w:rFonts w:cs="Arial"/>
      <w:sz w:val="22"/>
      <w:szCs w:val="22"/>
    </w:rPr>
  </w:style>
  <w:style w:type="paragraph" w:styleId="List3">
    <w:name w:val="List 3"/>
    <w:uiPriority w:val="99"/>
    <w:semiHidden/>
    <w:unhideWhenUsed/>
    <w:rsid w:val="00B825F7"/>
    <w:pPr>
      <w:ind w:left="849" w:hanging="283"/>
      <w:contextualSpacing/>
    </w:pPr>
    <w:rPr>
      <w:rFonts w:cs="Arial"/>
      <w:sz w:val="22"/>
      <w:szCs w:val="22"/>
    </w:rPr>
  </w:style>
  <w:style w:type="paragraph" w:styleId="List4">
    <w:name w:val="List 4"/>
    <w:uiPriority w:val="99"/>
    <w:semiHidden/>
    <w:unhideWhenUsed/>
    <w:rsid w:val="00B825F7"/>
    <w:pPr>
      <w:ind w:left="1132" w:hanging="283"/>
      <w:contextualSpacing/>
    </w:pPr>
    <w:rPr>
      <w:rFonts w:cs="Arial"/>
      <w:sz w:val="22"/>
      <w:szCs w:val="22"/>
    </w:rPr>
  </w:style>
  <w:style w:type="paragraph" w:styleId="List5">
    <w:name w:val="List 5"/>
    <w:uiPriority w:val="99"/>
    <w:semiHidden/>
    <w:unhideWhenUsed/>
    <w:rsid w:val="00B825F7"/>
    <w:pPr>
      <w:ind w:left="1415" w:hanging="283"/>
      <w:contextualSpacing/>
    </w:pPr>
    <w:rPr>
      <w:rFonts w:cs="Arial"/>
      <w:sz w:val="22"/>
      <w:szCs w:val="22"/>
    </w:rPr>
  </w:style>
  <w:style w:type="paragraph" w:styleId="ListBullet">
    <w:name w:val="List Bullet"/>
    <w:uiPriority w:val="99"/>
    <w:unhideWhenUsed/>
    <w:rsid w:val="00041537"/>
    <w:pPr>
      <w:numPr>
        <w:numId w:val="4"/>
      </w:numPr>
      <w:tabs>
        <w:tab w:val="clear" w:pos="360"/>
      </w:tabs>
      <w:spacing w:after="120"/>
      <w:ind w:left="1418" w:hanging="709"/>
    </w:pPr>
    <w:rPr>
      <w:rFonts w:cs="Arial"/>
      <w:sz w:val="22"/>
      <w:szCs w:val="22"/>
    </w:rPr>
  </w:style>
  <w:style w:type="paragraph" w:styleId="ListBullet2">
    <w:name w:val="List Bullet 2"/>
    <w:uiPriority w:val="99"/>
    <w:semiHidden/>
    <w:unhideWhenUsed/>
    <w:rsid w:val="00B825F7"/>
    <w:pPr>
      <w:numPr>
        <w:numId w:val="5"/>
      </w:numPr>
      <w:contextualSpacing/>
    </w:pPr>
    <w:rPr>
      <w:rFonts w:cs="Arial"/>
      <w:sz w:val="22"/>
      <w:szCs w:val="22"/>
    </w:rPr>
  </w:style>
  <w:style w:type="paragraph" w:styleId="ListBullet3">
    <w:name w:val="List Bullet 3"/>
    <w:uiPriority w:val="99"/>
    <w:semiHidden/>
    <w:unhideWhenUsed/>
    <w:rsid w:val="00B825F7"/>
    <w:pPr>
      <w:numPr>
        <w:numId w:val="6"/>
      </w:numPr>
      <w:contextualSpacing/>
    </w:pPr>
    <w:rPr>
      <w:rFonts w:cs="Arial"/>
      <w:sz w:val="22"/>
      <w:szCs w:val="22"/>
    </w:rPr>
  </w:style>
  <w:style w:type="paragraph" w:styleId="ListBullet4">
    <w:name w:val="List Bullet 4"/>
    <w:uiPriority w:val="99"/>
    <w:semiHidden/>
    <w:unhideWhenUsed/>
    <w:rsid w:val="00B825F7"/>
    <w:pPr>
      <w:numPr>
        <w:numId w:val="7"/>
      </w:numPr>
      <w:contextualSpacing/>
    </w:pPr>
    <w:rPr>
      <w:rFonts w:cs="Arial"/>
      <w:sz w:val="22"/>
      <w:szCs w:val="22"/>
    </w:rPr>
  </w:style>
  <w:style w:type="paragraph" w:styleId="ListBullet5">
    <w:name w:val="List Bullet 5"/>
    <w:uiPriority w:val="99"/>
    <w:semiHidden/>
    <w:unhideWhenUsed/>
    <w:rsid w:val="00B825F7"/>
    <w:pPr>
      <w:numPr>
        <w:numId w:val="8"/>
      </w:numPr>
      <w:contextualSpacing/>
    </w:pPr>
    <w:rPr>
      <w:rFonts w:cs="Arial"/>
      <w:sz w:val="22"/>
      <w:szCs w:val="22"/>
    </w:rPr>
  </w:style>
  <w:style w:type="paragraph" w:styleId="ListContinue">
    <w:name w:val="List Continue"/>
    <w:uiPriority w:val="99"/>
    <w:semiHidden/>
    <w:unhideWhenUsed/>
    <w:rsid w:val="00B825F7"/>
    <w:pPr>
      <w:spacing w:after="120"/>
      <w:ind w:left="283"/>
      <w:contextualSpacing/>
    </w:pPr>
    <w:rPr>
      <w:rFonts w:cs="Arial"/>
      <w:sz w:val="22"/>
      <w:szCs w:val="22"/>
    </w:rPr>
  </w:style>
  <w:style w:type="paragraph" w:styleId="ListContinue2">
    <w:name w:val="List Continue 2"/>
    <w:uiPriority w:val="99"/>
    <w:semiHidden/>
    <w:unhideWhenUsed/>
    <w:rsid w:val="00B825F7"/>
    <w:pPr>
      <w:spacing w:after="120"/>
      <w:ind w:left="566"/>
      <w:contextualSpacing/>
    </w:pPr>
    <w:rPr>
      <w:rFonts w:cs="Arial"/>
      <w:sz w:val="22"/>
      <w:szCs w:val="22"/>
    </w:rPr>
  </w:style>
  <w:style w:type="paragraph" w:styleId="ListContinue3">
    <w:name w:val="List Continue 3"/>
    <w:uiPriority w:val="99"/>
    <w:semiHidden/>
    <w:unhideWhenUsed/>
    <w:rsid w:val="00B825F7"/>
    <w:pPr>
      <w:spacing w:after="120"/>
      <w:ind w:left="849"/>
      <w:contextualSpacing/>
    </w:pPr>
    <w:rPr>
      <w:rFonts w:cs="Arial"/>
      <w:sz w:val="22"/>
      <w:szCs w:val="22"/>
    </w:rPr>
  </w:style>
  <w:style w:type="paragraph" w:styleId="ListContinue4">
    <w:name w:val="List Continue 4"/>
    <w:uiPriority w:val="99"/>
    <w:semiHidden/>
    <w:unhideWhenUsed/>
    <w:rsid w:val="00B825F7"/>
    <w:pPr>
      <w:spacing w:after="120"/>
      <w:ind w:left="1132"/>
      <w:contextualSpacing/>
    </w:pPr>
    <w:rPr>
      <w:rFonts w:cs="Arial"/>
      <w:sz w:val="22"/>
      <w:szCs w:val="22"/>
    </w:rPr>
  </w:style>
  <w:style w:type="paragraph" w:styleId="ListContinue5">
    <w:name w:val="List Continue 5"/>
    <w:uiPriority w:val="99"/>
    <w:semiHidden/>
    <w:unhideWhenUsed/>
    <w:rsid w:val="00B825F7"/>
    <w:pPr>
      <w:spacing w:after="120"/>
      <w:ind w:left="1415"/>
      <w:contextualSpacing/>
    </w:pPr>
    <w:rPr>
      <w:rFonts w:cs="Arial"/>
      <w:sz w:val="22"/>
      <w:szCs w:val="22"/>
    </w:rPr>
  </w:style>
  <w:style w:type="paragraph" w:styleId="ListNumber">
    <w:name w:val="List Number"/>
    <w:uiPriority w:val="99"/>
    <w:unhideWhenUsed/>
    <w:rsid w:val="00041537"/>
    <w:pPr>
      <w:numPr>
        <w:numId w:val="9"/>
      </w:numPr>
      <w:spacing w:after="120"/>
      <w:ind w:left="357" w:hanging="357"/>
    </w:pPr>
    <w:rPr>
      <w:rFonts w:cs="Arial"/>
      <w:sz w:val="22"/>
      <w:szCs w:val="22"/>
    </w:rPr>
  </w:style>
  <w:style w:type="paragraph" w:styleId="ListNumber2">
    <w:name w:val="List Number 2"/>
    <w:uiPriority w:val="99"/>
    <w:semiHidden/>
    <w:unhideWhenUsed/>
    <w:rsid w:val="00B825F7"/>
    <w:pPr>
      <w:numPr>
        <w:numId w:val="10"/>
      </w:numPr>
      <w:contextualSpacing/>
    </w:pPr>
    <w:rPr>
      <w:rFonts w:cs="Arial"/>
      <w:sz w:val="22"/>
      <w:szCs w:val="22"/>
    </w:rPr>
  </w:style>
  <w:style w:type="paragraph" w:styleId="ListNumber3">
    <w:name w:val="List Number 3"/>
    <w:uiPriority w:val="99"/>
    <w:semiHidden/>
    <w:unhideWhenUsed/>
    <w:rsid w:val="00B825F7"/>
    <w:pPr>
      <w:numPr>
        <w:numId w:val="11"/>
      </w:numPr>
      <w:contextualSpacing/>
    </w:pPr>
    <w:rPr>
      <w:rFonts w:cs="Arial"/>
      <w:sz w:val="22"/>
      <w:szCs w:val="22"/>
    </w:rPr>
  </w:style>
  <w:style w:type="paragraph" w:styleId="ListNumber4">
    <w:name w:val="List Number 4"/>
    <w:uiPriority w:val="99"/>
    <w:semiHidden/>
    <w:unhideWhenUsed/>
    <w:rsid w:val="00B825F7"/>
    <w:pPr>
      <w:numPr>
        <w:numId w:val="12"/>
      </w:numPr>
      <w:contextualSpacing/>
    </w:pPr>
    <w:rPr>
      <w:rFonts w:cs="Arial"/>
      <w:sz w:val="22"/>
      <w:szCs w:val="22"/>
    </w:rPr>
  </w:style>
  <w:style w:type="paragraph" w:styleId="ListNumber5">
    <w:name w:val="List Number 5"/>
    <w:uiPriority w:val="99"/>
    <w:semiHidden/>
    <w:unhideWhenUsed/>
    <w:rsid w:val="00B825F7"/>
    <w:pPr>
      <w:numPr>
        <w:numId w:val="13"/>
      </w:numPr>
      <w:contextualSpacing/>
    </w:pPr>
    <w:rPr>
      <w:rFonts w:cs="Arial"/>
      <w:sz w:val="22"/>
      <w:szCs w:val="22"/>
    </w:rPr>
  </w:style>
  <w:style w:type="paragraph" w:styleId="ListParagraph">
    <w:name w:val="List Paragraph"/>
    <w:uiPriority w:val="34"/>
    <w:qFormat/>
    <w:rsid w:val="00451CC4"/>
    <w:pPr>
      <w:ind w:left="720"/>
    </w:pPr>
    <w:rPr>
      <w:rFonts w:cs="Arial"/>
      <w:sz w:val="22"/>
      <w:szCs w:val="22"/>
    </w:rPr>
  </w:style>
  <w:style w:type="table" w:customStyle="1" w:styleId="ListTable1Light1">
    <w:name w:val="List Table 1 Light1"/>
    <w:uiPriority w:val="46"/>
    <w:rsid w:val="00B825F7"/>
    <w:rPr>
      <w:sz w:val="22"/>
      <w:szCs w:val="22"/>
    </w:rPr>
    <w:tblPr>
      <w:tblStyleRowBandSize w:val="1"/>
      <w:tblStyleColBandSize w:val="1"/>
      <w:tblCellMar>
        <w:top w:w="0" w:type="dxa"/>
        <w:left w:w="0" w:type="dxa"/>
        <w:bottom w:w="0" w:type="dxa"/>
        <w:right w:w="0" w:type="dxa"/>
      </w:tblCellMar>
    </w:tblPr>
  </w:style>
  <w:style w:type="table" w:customStyle="1" w:styleId="ListTable1Light-Accent11">
    <w:name w:val="List Table 1 Light - Accent 11"/>
    <w:uiPriority w:val="46"/>
    <w:rsid w:val="00B825F7"/>
    <w:rPr>
      <w:sz w:val="22"/>
      <w:szCs w:val="22"/>
    </w:rPr>
    <w:tblPr>
      <w:tblStyleRowBandSize w:val="1"/>
      <w:tblStyleColBandSize w:val="1"/>
      <w:tblCellMar>
        <w:top w:w="0" w:type="dxa"/>
        <w:left w:w="0" w:type="dxa"/>
        <w:bottom w:w="0" w:type="dxa"/>
        <w:right w:w="0" w:type="dxa"/>
      </w:tblCellMar>
    </w:tblPr>
  </w:style>
  <w:style w:type="table" w:customStyle="1" w:styleId="ListTable1Light-Accent21">
    <w:name w:val="List Table 1 Light - Accent 21"/>
    <w:uiPriority w:val="46"/>
    <w:rsid w:val="00B825F7"/>
    <w:rPr>
      <w:sz w:val="22"/>
      <w:szCs w:val="22"/>
    </w:rPr>
    <w:tblPr>
      <w:tblStyleRowBandSize w:val="1"/>
      <w:tblStyleColBandSize w:val="1"/>
      <w:tblCellMar>
        <w:top w:w="0" w:type="dxa"/>
        <w:left w:w="0" w:type="dxa"/>
        <w:bottom w:w="0" w:type="dxa"/>
        <w:right w:w="0" w:type="dxa"/>
      </w:tblCellMar>
    </w:tblPr>
  </w:style>
  <w:style w:type="table" w:customStyle="1" w:styleId="ListTable1Light-Accent31">
    <w:name w:val="List Table 1 Light - Accent 31"/>
    <w:uiPriority w:val="46"/>
    <w:rsid w:val="00B825F7"/>
    <w:rPr>
      <w:sz w:val="22"/>
      <w:szCs w:val="22"/>
    </w:rPr>
    <w:tblPr>
      <w:tblStyleRowBandSize w:val="1"/>
      <w:tblStyleColBandSize w:val="1"/>
      <w:tblCellMar>
        <w:top w:w="0" w:type="dxa"/>
        <w:left w:w="0" w:type="dxa"/>
        <w:bottom w:w="0" w:type="dxa"/>
        <w:right w:w="0" w:type="dxa"/>
      </w:tblCellMar>
    </w:tblPr>
  </w:style>
  <w:style w:type="table" w:customStyle="1" w:styleId="ListTable1Light-Accent41">
    <w:name w:val="List Table 1 Light - Accent 41"/>
    <w:uiPriority w:val="46"/>
    <w:rsid w:val="00B825F7"/>
    <w:rPr>
      <w:sz w:val="22"/>
      <w:szCs w:val="22"/>
    </w:rPr>
    <w:tblPr>
      <w:tblStyleRowBandSize w:val="1"/>
      <w:tblStyleColBandSize w:val="1"/>
      <w:tblCellMar>
        <w:top w:w="0" w:type="dxa"/>
        <w:left w:w="0" w:type="dxa"/>
        <w:bottom w:w="0" w:type="dxa"/>
        <w:right w:w="0" w:type="dxa"/>
      </w:tblCellMar>
    </w:tblPr>
  </w:style>
  <w:style w:type="table" w:customStyle="1" w:styleId="ListTable1Light-Accent51">
    <w:name w:val="List Table 1 Light - Accent 51"/>
    <w:uiPriority w:val="46"/>
    <w:rsid w:val="00B825F7"/>
    <w:rPr>
      <w:sz w:val="22"/>
      <w:szCs w:val="22"/>
    </w:rPr>
    <w:tblPr>
      <w:tblStyleRowBandSize w:val="1"/>
      <w:tblStyleColBandSize w:val="1"/>
      <w:tblCellMar>
        <w:top w:w="0" w:type="dxa"/>
        <w:left w:w="0" w:type="dxa"/>
        <w:bottom w:w="0" w:type="dxa"/>
        <w:right w:w="0" w:type="dxa"/>
      </w:tblCellMar>
    </w:tblPr>
  </w:style>
  <w:style w:type="table" w:customStyle="1" w:styleId="ListTable1Light-Accent61">
    <w:name w:val="List Table 1 Light - Accent 61"/>
    <w:uiPriority w:val="46"/>
    <w:rsid w:val="00B825F7"/>
    <w:rPr>
      <w:sz w:val="22"/>
      <w:szCs w:val="22"/>
    </w:rPr>
    <w:tblPr>
      <w:tblStyleRowBandSize w:val="1"/>
      <w:tblStyleColBandSize w:val="1"/>
      <w:tblCellMar>
        <w:top w:w="0" w:type="dxa"/>
        <w:left w:w="0" w:type="dxa"/>
        <w:bottom w:w="0" w:type="dxa"/>
        <w:right w:w="0" w:type="dxa"/>
      </w:tblCellMar>
    </w:tblPr>
  </w:style>
  <w:style w:type="table" w:customStyle="1" w:styleId="ListTable21">
    <w:name w:val="List Table 21"/>
    <w:uiPriority w:val="47"/>
    <w:rsid w:val="00B825F7"/>
    <w:rPr>
      <w:sz w:val="22"/>
      <w:szCs w:val="22"/>
    </w:rPr>
    <w:tblPr>
      <w:tblStyleRowBandSize w:val="1"/>
      <w:tblStyleColBandSize w:val="1"/>
      <w:tblBorders>
        <w:top w:val="single" w:sz="4" w:space="0" w:color="666666"/>
        <w:bottom w:val="single" w:sz="4" w:space="0" w:color="666666"/>
        <w:insideH w:val="single" w:sz="4" w:space="0" w:color="666666"/>
      </w:tblBorders>
      <w:tblCellMar>
        <w:top w:w="0" w:type="dxa"/>
        <w:left w:w="0" w:type="dxa"/>
        <w:bottom w:w="0" w:type="dxa"/>
        <w:right w:w="0" w:type="dxa"/>
      </w:tblCellMar>
    </w:tblPr>
  </w:style>
  <w:style w:type="table" w:customStyle="1" w:styleId="ListTable2-Accent11">
    <w:name w:val="List Table 2 - Accent 11"/>
    <w:uiPriority w:val="47"/>
    <w:rsid w:val="00B825F7"/>
    <w:rPr>
      <w:sz w:val="22"/>
      <w:szCs w:val="22"/>
    </w:rPr>
    <w:tblPr>
      <w:tblStyleRowBandSize w:val="1"/>
      <w:tblStyleColBandSize w:val="1"/>
      <w:tblBorders>
        <w:top w:val="single" w:sz="4" w:space="0" w:color="9CC2E5"/>
        <w:bottom w:val="single" w:sz="4" w:space="0" w:color="9CC2E5"/>
        <w:insideH w:val="single" w:sz="4" w:space="0" w:color="9CC2E5"/>
      </w:tblBorders>
      <w:tblCellMar>
        <w:top w:w="0" w:type="dxa"/>
        <w:left w:w="0" w:type="dxa"/>
        <w:bottom w:w="0" w:type="dxa"/>
        <w:right w:w="0" w:type="dxa"/>
      </w:tblCellMar>
    </w:tblPr>
  </w:style>
  <w:style w:type="table" w:customStyle="1" w:styleId="ListTable2-Accent21">
    <w:name w:val="List Table 2 - Accent 21"/>
    <w:uiPriority w:val="47"/>
    <w:rsid w:val="00B825F7"/>
    <w:rPr>
      <w:sz w:val="22"/>
      <w:szCs w:val="22"/>
    </w:rPr>
    <w:tblPr>
      <w:tblStyleRowBandSize w:val="1"/>
      <w:tblStyleColBandSize w:val="1"/>
      <w:tblBorders>
        <w:top w:val="single" w:sz="4" w:space="0" w:color="F4B083"/>
        <w:bottom w:val="single" w:sz="4" w:space="0" w:color="F4B083"/>
        <w:insideH w:val="single" w:sz="4" w:space="0" w:color="F4B083"/>
      </w:tblBorders>
      <w:tblCellMar>
        <w:top w:w="0" w:type="dxa"/>
        <w:left w:w="0" w:type="dxa"/>
        <w:bottom w:w="0" w:type="dxa"/>
        <w:right w:w="0" w:type="dxa"/>
      </w:tblCellMar>
    </w:tblPr>
  </w:style>
  <w:style w:type="table" w:customStyle="1" w:styleId="ListTable2-Accent31">
    <w:name w:val="List Table 2 - Accent 31"/>
    <w:uiPriority w:val="47"/>
    <w:rsid w:val="00B825F7"/>
    <w:rPr>
      <w:sz w:val="22"/>
      <w:szCs w:val="22"/>
    </w:rPr>
    <w:tblPr>
      <w:tblStyleRowBandSize w:val="1"/>
      <w:tblStyleColBandSize w:val="1"/>
      <w:tblBorders>
        <w:top w:val="single" w:sz="4" w:space="0" w:color="C9C9C9"/>
        <w:bottom w:val="single" w:sz="4" w:space="0" w:color="C9C9C9"/>
        <w:insideH w:val="single" w:sz="4" w:space="0" w:color="C9C9C9"/>
      </w:tblBorders>
      <w:tblCellMar>
        <w:top w:w="0" w:type="dxa"/>
        <w:left w:w="0" w:type="dxa"/>
        <w:bottom w:w="0" w:type="dxa"/>
        <w:right w:w="0" w:type="dxa"/>
      </w:tblCellMar>
    </w:tblPr>
  </w:style>
  <w:style w:type="table" w:customStyle="1" w:styleId="ListTable2-Accent41">
    <w:name w:val="List Table 2 - Accent 41"/>
    <w:uiPriority w:val="47"/>
    <w:rsid w:val="00B825F7"/>
    <w:rPr>
      <w:sz w:val="22"/>
      <w:szCs w:val="22"/>
    </w:rPr>
    <w:tblPr>
      <w:tblStyleRowBandSize w:val="1"/>
      <w:tblStyleColBandSize w:val="1"/>
      <w:tblBorders>
        <w:top w:val="single" w:sz="4" w:space="0" w:color="FFD966"/>
        <w:bottom w:val="single" w:sz="4" w:space="0" w:color="FFD966"/>
        <w:insideH w:val="single" w:sz="4" w:space="0" w:color="FFD966"/>
      </w:tblBorders>
      <w:tblCellMar>
        <w:top w:w="0" w:type="dxa"/>
        <w:left w:w="0" w:type="dxa"/>
        <w:bottom w:w="0" w:type="dxa"/>
        <w:right w:w="0" w:type="dxa"/>
      </w:tblCellMar>
    </w:tblPr>
  </w:style>
  <w:style w:type="table" w:customStyle="1" w:styleId="ListTable2-Accent51">
    <w:name w:val="List Table 2 - Accent 51"/>
    <w:uiPriority w:val="47"/>
    <w:rsid w:val="00B825F7"/>
    <w:rPr>
      <w:sz w:val="22"/>
      <w:szCs w:val="22"/>
    </w:rPr>
    <w:tblPr>
      <w:tblStyleRowBandSize w:val="1"/>
      <w:tblStyleColBandSize w:val="1"/>
      <w:tblBorders>
        <w:top w:val="single" w:sz="4" w:space="0" w:color="8EAADB"/>
        <w:bottom w:val="single" w:sz="4" w:space="0" w:color="8EAADB"/>
        <w:insideH w:val="single" w:sz="4" w:space="0" w:color="8EAADB"/>
      </w:tblBorders>
      <w:tblCellMar>
        <w:top w:w="0" w:type="dxa"/>
        <w:left w:w="0" w:type="dxa"/>
        <w:bottom w:w="0" w:type="dxa"/>
        <w:right w:w="0" w:type="dxa"/>
      </w:tblCellMar>
    </w:tblPr>
  </w:style>
  <w:style w:type="table" w:customStyle="1" w:styleId="ListTable2-Accent61">
    <w:name w:val="List Table 2 - Accent 61"/>
    <w:uiPriority w:val="47"/>
    <w:rsid w:val="00B825F7"/>
    <w:rPr>
      <w:sz w:val="22"/>
      <w:szCs w:val="22"/>
    </w:rPr>
    <w:tblPr>
      <w:tblStyleRowBandSize w:val="1"/>
      <w:tblStyleColBandSize w:val="1"/>
      <w:tblBorders>
        <w:top w:val="single" w:sz="4" w:space="0" w:color="A8D08D"/>
        <w:bottom w:val="single" w:sz="4" w:space="0" w:color="A8D08D"/>
        <w:insideH w:val="single" w:sz="4" w:space="0" w:color="A8D08D"/>
      </w:tblBorders>
      <w:tblCellMar>
        <w:top w:w="0" w:type="dxa"/>
        <w:left w:w="0" w:type="dxa"/>
        <w:bottom w:w="0" w:type="dxa"/>
        <w:right w:w="0" w:type="dxa"/>
      </w:tblCellMar>
    </w:tblPr>
  </w:style>
  <w:style w:type="table" w:customStyle="1" w:styleId="ListTable31">
    <w:name w:val="List Table 31"/>
    <w:uiPriority w:val="48"/>
    <w:rsid w:val="00B825F7"/>
    <w:rPr>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1">
    <w:name w:val="List Table 3 - Accent 11"/>
    <w:uiPriority w:val="48"/>
    <w:rsid w:val="00B825F7"/>
    <w:rPr>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CellMar>
        <w:top w:w="0" w:type="dxa"/>
        <w:left w:w="0" w:type="dxa"/>
        <w:bottom w:w="0" w:type="dxa"/>
        <w:right w:w="0" w:type="dxa"/>
      </w:tblCellMar>
    </w:tblPr>
  </w:style>
  <w:style w:type="table" w:customStyle="1" w:styleId="ListTable3-Accent21">
    <w:name w:val="List Table 3 - Accent 21"/>
    <w:uiPriority w:val="48"/>
    <w:rsid w:val="00B825F7"/>
    <w:rPr>
      <w:sz w:val="22"/>
      <w:szCs w:val="22"/>
    </w:rPr>
    <w:tblPr>
      <w:tblStyleRowBandSize w:val="1"/>
      <w:tblStyleColBandSize w:val="1"/>
      <w:tblBorders>
        <w:top w:val="single" w:sz="4" w:space="0" w:color="ED7D31"/>
        <w:left w:val="single" w:sz="4" w:space="0" w:color="ED7D31"/>
        <w:bottom w:val="single" w:sz="4" w:space="0" w:color="ED7D31"/>
        <w:right w:val="single" w:sz="4" w:space="0" w:color="ED7D31"/>
      </w:tblBorders>
      <w:tblCellMar>
        <w:top w:w="0" w:type="dxa"/>
        <w:left w:w="0" w:type="dxa"/>
        <w:bottom w:w="0" w:type="dxa"/>
        <w:right w:w="0" w:type="dxa"/>
      </w:tblCellMar>
    </w:tblPr>
  </w:style>
  <w:style w:type="table" w:customStyle="1" w:styleId="ListTable3-Accent31">
    <w:name w:val="List Table 3 - Accent 31"/>
    <w:uiPriority w:val="48"/>
    <w:rsid w:val="00B825F7"/>
    <w:rPr>
      <w:sz w:val="22"/>
      <w:szCs w:val="22"/>
    </w:rPr>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0" w:type="dxa"/>
        <w:bottom w:w="0" w:type="dxa"/>
        <w:right w:w="0" w:type="dxa"/>
      </w:tblCellMar>
    </w:tblPr>
  </w:style>
  <w:style w:type="table" w:customStyle="1" w:styleId="ListTable3-Accent41">
    <w:name w:val="List Table 3 - Accent 41"/>
    <w:uiPriority w:val="48"/>
    <w:rsid w:val="00B825F7"/>
    <w:rPr>
      <w:sz w:val="22"/>
      <w:szCs w:val="22"/>
    </w:rPr>
    <w:tblPr>
      <w:tblStyleRowBandSize w:val="1"/>
      <w:tblStyleColBandSize w:val="1"/>
      <w:tblBorders>
        <w:top w:val="single" w:sz="4" w:space="0" w:color="FFC000"/>
        <w:left w:val="single" w:sz="4" w:space="0" w:color="FFC000"/>
        <w:bottom w:val="single" w:sz="4" w:space="0" w:color="FFC000"/>
        <w:right w:val="single" w:sz="4" w:space="0" w:color="FFC000"/>
      </w:tblBorders>
      <w:tblCellMar>
        <w:top w:w="0" w:type="dxa"/>
        <w:left w:w="0" w:type="dxa"/>
        <w:bottom w:w="0" w:type="dxa"/>
        <w:right w:w="0" w:type="dxa"/>
      </w:tblCellMar>
    </w:tblPr>
  </w:style>
  <w:style w:type="table" w:customStyle="1" w:styleId="ListTable3-Accent51">
    <w:name w:val="List Table 3 - Accent 51"/>
    <w:uiPriority w:val="48"/>
    <w:rsid w:val="00B825F7"/>
    <w:rPr>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style>
  <w:style w:type="table" w:customStyle="1" w:styleId="ListTable3-Accent61">
    <w:name w:val="List Table 3 - Accent 61"/>
    <w:uiPriority w:val="48"/>
    <w:rsid w:val="00B825F7"/>
    <w:rPr>
      <w:sz w:val="22"/>
      <w:szCs w:val="22"/>
    </w:rPr>
    <w:tblPr>
      <w:tblStyleRowBandSize w:val="1"/>
      <w:tblStyleColBandSize w:val="1"/>
      <w:tblBorders>
        <w:top w:val="single" w:sz="4" w:space="0" w:color="70AD47"/>
        <w:left w:val="single" w:sz="4" w:space="0" w:color="70AD47"/>
        <w:bottom w:val="single" w:sz="4" w:space="0" w:color="70AD47"/>
        <w:right w:val="single" w:sz="4" w:space="0" w:color="70AD47"/>
      </w:tblBorders>
      <w:tblCellMar>
        <w:top w:w="0" w:type="dxa"/>
        <w:left w:w="0" w:type="dxa"/>
        <w:bottom w:w="0" w:type="dxa"/>
        <w:right w:w="0" w:type="dxa"/>
      </w:tblCellMar>
    </w:tblPr>
  </w:style>
  <w:style w:type="table" w:customStyle="1" w:styleId="ListTable41">
    <w:name w:val="List Table 41"/>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0" w:type="dxa"/>
        <w:bottom w:w="0" w:type="dxa"/>
        <w:right w:w="0" w:type="dxa"/>
      </w:tblCellMar>
    </w:tblPr>
  </w:style>
  <w:style w:type="table" w:customStyle="1" w:styleId="ListTable4-Accent11">
    <w:name w:val="List Table 4 - Accent 1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0" w:type="dxa"/>
        <w:bottom w:w="0" w:type="dxa"/>
        <w:right w:w="0" w:type="dxa"/>
      </w:tblCellMar>
    </w:tblPr>
  </w:style>
  <w:style w:type="table" w:customStyle="1" w:styleId="ListTable4-Accent21">
    <w:name w:val="List Table 4 - Accent 21"/>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0" w:type="dxa"/>
        <w:bottom w:w="0" w:type="dxa"/>
        <w:right w:w="0" w:type="dxa"/>
      </w:tblCellMar>
    </w:tblPr>
  </w:style>
  <w:style w:type="table" w:customStyle="1" w:styleId="ListTable4-Accent31">
    <w:name w:val="List Table 4 - Accent 31"/>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0" w:type="dxa"/>
        <w:bottom w:w="0" w:type="dxa"/>
        <w:right w:w="0" w:type="dxa"/>
      </w:tblCellMar>
    </w:tblPr>
  </w:style>
  <w:style w:type="table" w:customStyle="1" w:styleId="ListTable4-Accent41">
    <w:name w:val="List Table 4 - Accent 41"/>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0" w:type="dxa"/>
        <w:bottom w:w="0" w:type="dxa"/>
        <w:right w:w="0" w:type="dxa"/>
      </w:tblCellMar>
    </w:tblPr>
  </w:style>
  <w:style w:type="table" w:customStyle="1" w:styleId="ListTable4-Accent51">
    <w:name w:val="List Table 4 - Accent 51"/>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0" w:type="dxa"/>
        <w:bottom w:w="0" w:type="dxa"/>
        <w:right w:w="0" w:type="dxa"/>
      </w:tblCellMar>
    </w:tblPr>
  </w:style>
  <w:style w:type="table" w:customStyle="1" w:styleId="ListTable4-Accent61">
    <w:name w:val="List Table 4 - Accent 61"/>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0" w:type="dxa"/>
        <w:bottom w:w="0" w:type="dxa"/>
        <w:right w:w="0" w:type="dxa"/>
      </w:tblCellMar>
    </w:tblPr>
  </w:style>
  <w:style w:type="table" w:customStyle="1" w:styleId="ListTable5Dark1">
    <w:name w:val="List Table 5 Dark1"/>
    <w:uiPriority w:val="50"/>
    <w:rsid w:val="00B825F7"/>
    <w:rPr>
      <w:color w:val="FFFFFF"/>
      <w:sz w:val="22"/>
      <w:szCs w:val="22"/>
    </w:rPr>
    <w:tblPr>
      <w:tblStyleRowBandSize w:val="1"/>
      <w:tblStyleColBandSize w:val="1"/>
      <w:tblBorders>
        <w:top w:val="single" w:sz="24" w:space="0" w:color="000000"/>
        <w:left w:val="single" w:sz="24" w:space="0" w:color="000000"/>
        <w:bottom w:val="single" w:sz="24" w:space="0" w:color="000000"/>
        <w:right w:val="single" w:sz="24" w:space="0" w:color="000000"/>
      </w:tblBorders>
      <w:tblCellMar>
        <w:top w:w="0" w:type="dxa"/>
        <w:left w:w="0" w:type="dxa"/>
        <w:bottom w:w="0" w:type="dxa"/>
        <w:right w:w="0" w:type="dxa"/>
      </w:tblCellMar>
    </w:tblPr>
    <w:tcPr>
      <w:shd w:val="clear" w:color="auto" w:fill="000000"/>
    </w:tcPr>
  </w:style>
  <w:style w:type="table" w:customStyle="1" w:styleId="ListTable5Dark-Accent11">
    <w:name w:val="List Table 5 Dark - Accent 11"/>
    <w:uiPriority w:val="50"/>
    <w:rsid w:val="00B825F7"/>
    <w:rPr>
      <w:color w:val="FFFFFF"/>
      <w:sz w:val="22"/>
      <w:szCs w:val="22"/>
    </w:rPr>
    <w:tblPr>
      <w:tblStyleRowBandSize w:val="1"/>
      <w:tblStyleColBandSize w:val="1"/>
      <w:tblBorders>
        <w:top w:val="single" w:sz="24" w:space="0" w:color="5B9BD5"/>
        <w:left w:val="single" w:sz="24" w:space="0" w:color="5B9BD5"/>
        <w:bottom w:val="single" w:sz="24" w:space="0" w:color="5B9BD5"/>
        <w:right w:val="single" w:sz="24" w:space="0" w:color="5B9BD5"/>
      </w:tblBorders>
      <w:tblCellMar>
        <w:top w:w="0" w:type="dxa"/>
        <w:left w:w="0" w:type="dxa"/>
        <w:bottom w:w="0" w:type="dxa"/>
        <w:right w:w="0" w:type="dxa"/>
      </w:tblCellMar>
    </w:tblPr>
    <w:tcPr>
      <w:shd w:val="clear" w:color="auto" w:fill="5B9BD5"/>
    </w:tcPr>
  </w:style>
  <w:style w:type="table" w:customStyle="1" w:styleId="ListTable5Dark-Accent21">
    <w:name w:val="List Table 5 Dark - Accent 21"/>
    <w:uiPriority w:val="50"/>
    <w:rsid w:val="00B825F7"/>
    <w:rPr>
      <w:color w:val="FFFFFF"/>
      <w:sz w:val="22"/>
      <w:szCs w:val="22"/>
    </w:rPr>
    <w:tblPr>
      <w:tblStyleRowBandSize w:val="1"/>
      <w:tblStyleColBandSize w:val="1"/>
      <w:tblBorders>
        <w:top w:val="single" w:sz="24" w:space="0" w:color="ED7D31"/>
        <w:left w:val="single" w:sz="24" w:space="0" w:color="ED7D31"/>
        <w:bottom w:val="single" w:sz="24" w:space="0" w:color="ED7D31"/>
        <w:right w:val="single" w:sz="24" w:space="0" w:color="ED7D31"/>
      </w:tblBorders>
      <w:tblCellMar>
        <w:top w:w="0" w:type="dxa"/>
        <w:left w:w="0" w:type="dxa"/>
        <w:bottom w:w="0" w:type="dxa"/>
        <w:right w:w="0" w:type="dxa"/>
      </w:tblCellMar>
    </w:tblPr>
    <w:tcPr>
      <w:shd w:val="clear" w:color="auto" w:fill="ED7D31"/>
    </w:tcPr>
  </w:style>
  <w:style w:type="table" w:customStyle="1" w:styleId="ListTable5Dark-Accent31">
    <w:name w:val="List Table 5 Dark - Accent 31"/>
    <w:uiPriority w:val="50"/>
    <w:rsid w:val="00B825F7"/>
    <w:rPr>
      <w:color w:val="FFFFFF"/>
      <w:sz w:val="22"/>
      <w:szCs w:val="22"/>
    </w:rPr>
    <w:tblPr>
      <w:tblStyleRowBandSize w:val="1"/>
      <w:tblStyleColBandSize w:val="1"/>
      <w:tblBorders>
        <w:top w:val="single" w:sz="24" w:space="0" w:color="A5A5A5"/>
        <w:left w:val="single" w:sz="24" w:space="0" w:color="A5A5A5"/>
        <w:bottom w:val="single" w:sz="24" w:space="0" w:color="A5A5A5"/>
        <w:right w:val="single" w:sz="24" w:space="0" w:color="A5A5A5"/>
      </w:tblBorders>
      <w:tblCellMar>
        <w:top w:w="0" w:type="dxa"/>
        <w:left w:w="0" w:type="dxa"/>
        <w:bottom w:w="0" w:type="dxa"/>
        <w:right w:w="0" w:type="dxa"/>
      </w:tblCellMar>
    </w:tblPr>
    <w:tcPr>
      <w:shd w:val="clear" w:color="auto" w:fill="A5A5A5"/>
    </w:tcPr>
  </w:style>
  <w:style w:type="table" w:customStyle="1" w:styleId="ListTable5Dark-Accent41">
    <w:name w:val="List Table 5 Dark - Accent 41"/>
    <w:uiPriority w:val="50"/>
    <w:rsid w:val="00B825F7"/>
    <w:rPr>
      <w:color w:val="FFFFFF"/>
      <w:sz w:val="22"/>
      <w:szCs w:val="22"/>
    </w:rPr>
    <w:tblPr>
      <w:tblStyleRowBandSize w:val="1"/>
      <w:tblStyleColBandSize w:val="1"/>
      <w:tblBorders>
        <w:top w:val="single" w:sz="24" w:space="0" w:color="FFC000"/>
        <w:left w:val="single" w:sz="24" w:space="0" w:color="FFC000"/>
        <w:bottom w:val="single" w:sz="24" w:space="0" w:color="FFC000"/>
        <w:right w:val="single" w:sz="24" w:space="0" w:color="FFC000"/>
      </w:tblBorders>
      <w:tblCellMar>
        <w:top w:w="0" w:type="dxa"/>
        <w:left w:w="0" w:type="dxa"/>
        <w:bottom w:w="0" w:type="dxa"/>
        <w:right w:w="0" w:type="dxa"/>
      </w:tblCellMar>
    </w:tblPr>
    <w:tcPr>
      <w:shd w:val="clear" w:color="auto" w:fill="FFC000"/>
    </w:tcPr>
  </w:style>
  <w:style w:type="table" w:customStyle="1" w:styleId="ListTable5Dark-Accent51">
    <w:name w:val="List Table 5 Dark - Accent 51"/>
    <w:uiPriority w:val="50"/>
    <w:rsid w:val="00B825F7"/>
    <w:rPr>
      <w:color w:val="FFFFFF"/>
      <w:sz w:val="22"/>
      <w:szCs w:val="22"/>
    </w:rPr>
    <w:tblPr>
      <w:tblStyleRowBandSize w:val="1"/>
      <w:tblStyleColBandSize w:val="1"/>
      <w:tblBorders>
        <w:top w:val="single" w:sz="24" w:space="0" w:color="4472C4"/>
        <w:left w:val="single" w:sz="24" w:space="0" w:color="4472C4"/>
        <w:bottom w:val="single" w:sz="24" w:space="0" w:color="4472C4"/>
        <w:right w:val="single" w:sz="24" w:space="0" w:color="4472C4"/>
      </w:tblBorders>
      <w:tblCellMar>
        <w:top w:w="0" w:type="dxa"/>
        <w:left w:w="0" w:type="dxa"/>
        <w:bottom w:w="0" w:type="dxa"/>
        <w:right w:w="0" w:type="dxa"/>
      </w:tblCellMar>
    </w:tblPr>
    <w:tcPr>
      <w:shd w:val="clear" w:color="auto" w:fill="4472C4"/>
    </w:tcPr>
  </w:style>
  <w:style w:type="table" w:customStyle="1" w:styleId="ListTable5Dark-Accent61">
    <w:name w:val="List Table 5 Dark - Accent 61"/>
    <w:uiPriority w:val="50"/>
    <w:rsid w:val="00B825F7"/>
    <w:rPr>
      <w:color w:val="FFFFFF"/>
      <w:sz w:val="22"/>
      <w:szCs w:val="22"/>
    </w:rPr>
    <w:tblPr>
      <w:tblStyleRowBandSize w:val="1"/>
      <w:tblStyleColBandSize w:val="1"/>
      <w:tblBorders>
        <w:top w:val="single" w:sz="24" w:space="0" w:color="70AD47"/>
        <w:left w:val="single" w:sz="24" w:space="0" w:color="70AD47"/>
        <w:bottom w:val="single" w:sz="24" w:space="0" w:color="70AD47"/>
        <w:right w:val="single" w:sz="24" w:space="0" w:color="70AD47"/>
      </w:tblBorders>
      <w:tblCellMar>
        <w:top w:w="0" w:type="dxa"/>
        <w:left w:w="0" w:type="dxa"/>
        <w:bottom w:w="0" w:type="dxa"/>
        <w:right w:w="0" w:type="dxa"/>
      </w:tblCellMar>
    </w:tblPr>
    <w:tcPr>
      <w:shd w:val="clear" w:color="auto" w:fill="70AD47"/>
    </w:tcPr>
  </w:style>
  <w:style w:type="table" w:customStyle="1" w:styleId="ListTable6Colorful1">
    <w:name w:val="List Table 6 Colorful1"/>
    <w:uiPriority w:val="51"/>
    <w:rsid w:val="00B825F7"/>
    <w:rPr>
      <w:color w:val="000000"/>
      <w:sz w:val="22"/>
      <w:szCs w:val="22"/>
    </w:rPr>
    <w:tblPr>
      <w:tblStyleRowBandSize w:val="1"/>
      <w:tblStyleColBandSize w:val="1"/>
      <w:tblBorders>
        <w:top w:val="single" w:sz="4" w:space="0" w:color="000000"/>
        <w:bottom w:val="single" w:sz="4" w:space="0" w:color="000000"/>
      </w:tblBorders>
      <w:tblCellMar>
        <w:top w:w="0" w:type="dxa"/>
        <w:left w:w="0" w:type="dxa"/>
        <w:bottom w:w="0" w:type="dxa"/>
        <w:right w:w="0" w:type="dxa"/>
      </w:tblCellMar>
    </w:tblPr>
  </w:style>
  <w:style w:type="table" w:customStyle="1" w:styleId="ListTable6Colorful-Accent11">
    <w:name w:val="List Table 6 Colorful - Accent 11"/>
    <w:uiPriority w:val="51"/>
    <w:rsid w:val="00B825F7"/>
    <w:rPr>
      <w:color w:val="2E74B5"/>
      <w:sz w:val="22"/>
      <w:szCs w:val="22"/>
    </w:rPr>
    <w:tblPr>
      <w:tblStyleRowBandSize w:val="1"/>
      <w:tblStyleColBandSize w:val="1"/>
      <w:tblBorders>
        <w:top w:val="single" w:sz="4" w:space="0" w:color="5B9BD5"/>
        <w:bottom w:val="single" w:sz="4" w:space="0" w:color="5B9BD5"/>
      </w:tblBorders>
      <w:tblCellMar>
        <w:top w:w="0" w:type="dxa"/>
        <w:left w:w="0" w:type="dxa"/>
        <w:bottom w:w="0" w:type="dxa"/>
        <w:right w:w="0" w:type="dxa"/>
      </w:tblCellMar>
    </w:tblPr>
  </w:style>
  <w:style w:type="table" w:customStyle="1" w:styleId="ListTable6Colorful-Accent21">
    <w:name w:val="List Table 6 Colorful - Accent 21"/>
    <w:uiPriority w:val="51"/>
    <w:rsid w:val="00B825F7"/>
    <w:rPr>
      <w:color w:val="C45911"/>
      <w:sz w:val="22"/>
      <w:szCs w:val="22"/>
    </w:rPr>
    <w:tblPr>
      <w:tblStyleRowBandSize w:val="1"/>
      <w:tblStyleColBandSize w:val="1"/>
      <w:tblBorders>
        <w:top w:val="single" w:sz="4" w:space="0" w:color="ED7D31"/>
        <w:bottom w:val="single" w:sz="4" w:space="0" w:color="ED7D31"/>
      </w:tblBorders>
      <w:tblCellMar>
        <w:top w:w="0" w:type="dxa"/>
        <w:left w:w="0" w:type="dxa"/>
        <w:bottom w:w="0" w:type="dxa"/>
        <w:right w:w="0" w:type="dxa"/>
      </w:tblCellMar>
    </w:tblPr>
  </w:style>
  <w:style w:type="table" w:customStyle="1" w:styleId="ListTable6Colorful-Accent31">
    <w:name w:val="List Table 6 Colorful - Accent 31"/>
    <w:uiPriority w:val="51"/>
    <w:rsid w:val="00B825F7"/>
    <w:rPr>
      <w:color w:val="7B7B7B"/>
      <w:sz w:val="22"/>
      <w:szCs w:val="22"/>
    </w:rPr>
    <w:tblPr>
      <w:tblStyleRowBandSize w:val="1"/>
      <w:tblStyleColBandSize w:val="1"/>
      <w:tblBorders>
        <w:top w:val="single" w:sz="4" w:space="0" w:color="A5A5A5"/>
        <w:bottom w:val="single" w:sz="4" w:space="0" w:color="A5A5A5"/>
      </w:tblBorders>
      <w:tblCellMar>
        <w:top w:w="0" w:type="dxa"/>
        <w:left w:w="0" w:type="dxa"/>
        <w:bottom w:w="0" w:type="dxa"/>
        <w:right w:w="0" w:type="dxa"/>
      </w:tblCellMar>
    </w:tblPr>
  </w:style>
  <w:style w:type="table" w:customStyle="1" w:styleId="ListTable6Colorful-Accent41">
    <w:name w:val="List Table 6 Colorful - Accent 41"/>
    <w:uiPriority w:val="51"/>
    <w:rsid w:val="00B825F7"/>
    <w:rPr>
      <w:color w:val="BF8F00"/>
      <w:sz w:val="22"/>
      <w:szCs w:val="22"/>
    </w:rPr>
    <w:tblPr>
      <w:tblStyleRowBandSize w:val="1"/>
      <w:tblStyleColBandSize w:val="1"/>
      <w:tblBorders>
        <w:top w:val="single" w:sz="4" w:space="0" w:color="FFC000"/>
        <w:bottom w:val="single" w:sz="4" w:space="0" w:color="FFC000"/>
      </w:tblBorders>
      <w:tblCellMar>
        <w:top w:w="0" w:type="dxa"/>
        <w:left w:w="0" w:type="dxa"/>
        <w:bottom w:w="0" w:type="dxa"/>
        <w:right w:w="0" w:type="dxa"/>
      </w:tblCellMar>
    </w:tblPr>
  </w:style>
  <w:style w:type="table" w:customStyle="1" w:styleId="ListTable6Colorful-Accent51">
    <w:name w:val="List Table 6 Colorful - Accent 51"/>
    <w:uiPriority w:val="51"/>
    <w:rsid w:val="00B825F7"/>
    <w:rPr>
      <w:color w:val="2F5496"/>
      <w:sz w:val="22"/>
      <w:szCs w:val="22"/>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style>
  <w:style w:type="table" w:customStyle="1" w:styleId="ListTable6Colorful-Accent61">
    <w:name w:val="List Table 6 Colorful - Accent 61"/>
    <w:uiPriority w:val="51"/>
    <w:rsid w:val="00B825F7"/>
    <w:rPr>
      <w:color w:val="538135"/>
      <w:sz w:val="22"/>
      <w:szCs w:val="22"/>
    </w:rPr>
    <w:tblPr>
      <w:tblStyleRowBandSize w:val="1"/>
      <w:tblStyleColBandSize w:val="1"/>
      <w:tblBorders>
        <w:top w:val="single" w:sz="4" w:space="0" w:color="70AD47"/>
        <w:bottom w:val="single" w:sz="4" w:space="0" w:color="70AD47"/>
      </w:tblBorders>
      <w:tblCellMar>
        <w:top w:w="0" w:type="dxa"/>
        <w:left w:w="0" w:type="dxa"/>
        <w:bottom w:w="0" w:type="dxa"/>
        <w:right w:w="0" w:type="dxa"/>
      </w:tblCellMar>
    </w:tblPr>
  </w:style>
  <w:style w:type="table" w:customStyle="1" w:styleId="ListTable7Colorful1">
    <w:name w:val="List Table 7 Colorful1"/>
    <w:uiPriority w:val="52"/>
    <w:rsid w:val="00B825F7"/>
    <w:rPr>
      <w:color w:val="000000"/>
      <w:sz w:val="22"/>
      <w:szCs w:val="22"/>
    </w:rPr>
    <w:tblPr>
      <w:tblStyleRowBandSize w:val="1"/>
      <w:tblStyleColBandSize w:val="1"/>
      <w:tblCellMar>
        <w:top w:w="0" w:type="dxa"/>
        <w:left w:w="0" w:type="dxa"/>
        <w:bottom w:w="0" w:type="dxa"/>
        <w:right w:w="0" w:type="dxa"/>
      </w:tblCellMar>
    </w:tblPr>
  </w:style>
  <w:style w:type="table" w:customStyle="1" w:styleId="ListTable7Colorful-Accent11">
    <w:name w:val="List Table 7 Colorful - Accent 11"/>
    <w:uiPriority w:val="52"/>
    <w:rsid w:val="00B825F7"/>
    <w:rPr>
      <w:color w:val="2E74B5"/>
      <w:sz w:val="22"/>
      <w:szCs w:val="22"/>
    </w:rPr>
    <w:tblPr>
      <w:tblStyleRowBandSize w:val="1"/>
      <w:tblStyleColBandSize w:val="1"/>
      <w:tblCellMar>
        <w:top w:w="0" w:type="dxa"/>
        <w:left w:w="0" w:type="dxa"/>
        <w:bottom w:w="0" w:type="dxa"/>
        <w:right w:w="0" w:type="dxa"/>
      </w:tblCellMar>
    </w:tblPr>
  </w:style>
  <w:style w:type="table" w:customStyle="1" w:styleId="ListTable7Colorful-Accent21">
    <w:name w:val="List Table 7 Colorful - Accent 21"/>
    <w:uiPriority w:val="52"/>
    <w:rsid w:val="00B825F7"/>
    <w:rPr>
      <w:color w:val="C45911"/>
      <w:sz w:val="22"/>
      <w:szCs w:val="22"/>
    </w:rPr>
    <w:tblPr>
      <w:tblStyleRowBandSize w:val="1"/>
      <w:tblStyleColBandSize w:val="1"/>
      <w:tblCellMar>
        <w:top w:w="0" w:type="dxa"/>
        <w:left w:w="0" w:type="dxa"/>
        <w:bottom w:w="0" w:type="dxa"/>
        <w:right w:w="0" w:type="dxa"/>
      </w:tblCellMar>
    </w:tblPr>
  </w:style>
  <w:style w:type="table" w:customStyle="1" w:styleId="ListTable7Colorful-Accent31">
    <w:name w:val="List Table 7 Colorful - Accent 31"/>
    <w:uiPriority w:val="52"/>
    <w:rsid w:val="00B825F7"/>
    <w:rPr>
      <w:color w:val="7B7B7B"/>
      <w:sz w:val="22"/>
      <w:szCs w:val="22"/>
    </w:rPr>
    <w:tblPr>
      <w:tblStyleRowBandSize w:val="1"/>
      <w:tblStyleColBandSize w:val="1"/>
      <w:tblCellMar>
        <w:top w:w="0" w:type="dxa"/>
        <w:left w:w="0" w:type="dxa"/>
        <w:bottom w:w="0" w:type="dxa"/>
        <w:right w:w="0" w:type="dxa"/>
      </w:tblCellMar>
    </w:tblPr>
  </w:style>
  <w:style w:type="table" w:customStyle="1" w:styleId="ListTable7Colorful-Accent41">
    <w:name w:val="List Table 7 Colorful - Accent 41"/>
    <w:uiPriority w:val="52"/>
    <w:rsid w:val="00B825F7"/>
    <w:rPr>
      <w:color w:val="BF8F00"/>
      <w:sz w:val="22"/>
      <w:szCs w:val="22"/>
    </w:rPr>
    <w:tblPr>
      <w:tblStyleRowBandSize w:val="1"/>
      <w:tblStyleColBandSize w:val="1"/>
      <w:tblCellMar>
        <w:top w:w="0" w:type="dxa"/>
        <w:left w:w="0" w:type="dxa"/>
        <w:bottom w:w="0" w:type="dxa"/>
        <w:right w:w="0" w:type="dxa"/>
      </w:tblCellMar>
    </w:tblPr>
  </w:style>
  <w:style w:type="table" w:customStyle="1" w:styleId="ListTable7Colorful-Accent51">
    <w:name w:val="List Table 7 Colorful - Accent 51"/>
    <w:uiPriority w:val="52"/>
    <w:rsid w:val="00B825F7"/>
    <w:rPr>
      <w:color w:val="2F5496"/>
      <w:sz w:val="22"/>
      <w:szCs w:val="22"/>
    </w:rPr>
    <w:tblPr>
      <w:tblStyleRowBandSize w:val="1"/>
      <w:tblStyleColBandSize w:val="1"/>
      <w:tblCellMar>
        <w:top w:w="0" w:type="dxa"/>
        <w:left w:w="0" w:type="dxa"/>
        <w:bottom w:w="0" w:type="dxa"/>
        <w:right w:w="0" w:type="dxa"/>
      </w:tblCellMar>
    </w:tblPr>
  </w:style>
  <w:style w:type="table" w:customStyle="1" w:styleId="ListTable7Colorful-Accent61">
    <w:name w:val="List Table 7 Colorful - Accent 61"/>
    <w:uiPriority w:val="52"/>
    <w:rsid w:val="00B825F7"/>
    <w:rPr>
      <w:color w:val="538135"/>
      <w:sz w:val="22"/>
      <w:szCs w:val="22"/>
    </w:rPr>
    <w:tblPr>
      <w:tblStyleRowBandSize w:val="1"/>
      <w:tblStyleColBandSize w:val="1"/>
      <w:tblCellMar>
        <w:top w:w="0" w:type="dxa"/>
        <w:left w:w="0" w:type="dxa"/>
        <w:bottom w:w="0" w:type="dxa"/>
        <w:right w:w="0" w:type="dxa"/>
      </w:tblCellMar>
    </w:tblPr>
  </w:style>
  <w:style w:type="paragraph" w:styleId="MacroText">
    <w:name w:val="macro"/>
    <w:link w:val="MacroTextChar"/>
    <w:uiPriority w:val="99"/>
    <w:semiHidden/>
    <w:unhideWhenUsed/>
    <w:rsid w:val="00B825F7"/>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cs="Arial"/>
    </w:rPr>
  </w:style>
  <w:style w:type="character" w:customStyle="1" w:styleId="MacroTextChar">
    <w:name w:val="Macro Text Char"/>
    <w:link w:val="MacroText"/>
    <w:uiPriority w:val="99"/>
    <w:semiHidden/>
    <w:rsid w:val="00B825F7"/>
    <w:rPr>
      <w:rFonts w:ascii="Arial" w:hAnsi="Arial" w:cs="Arial"/>
      <w:sz w:val="20"/>
      <w:szCs w:val="20"/>
    </w:rPr>
  </w:style>
  <w:style w:type="table" w:styleId="MediumGrid1">
    <w:name w:val="Medium Grid 1"/>
    <w:uiPriority w:val="67"/>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0" w:type="dxa"/>
        <w:bottom w:w="0" w:type="dxa"/>
        <w:right w:w="0" w:type="dxa"/>
      </w:tblCellMar>
    </w:tblPr>
    <w:tcPr>
      <w:shd w:val="clear" w:color="auto" w:fill="C0C0C0"/>
    </w:tcPr>
  </w:style>
  <w:style w:type="table" w:styleId="MediumGrid1-Accent1">
    <w:name w:val="Medium Grid 1 Accent 1"/>
    <w:uiPriority w:val="67"/>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0" w:type="dxa"/>
        <w:bottom w:w="0" w:type="dxa"/>
        <w:right w:w="0" w:type="dxa"/>
      </w:tblCellMar>
    </w:tblPr>
    <w:tcPr>
      <w:shd w:val="clear" w:color="auto" w:fill="D6E6F4"/>
    </w:tcPr>
  </w:style>
  <w:style w:type="table" w:styleId="MediumGrid1-Accent2">
    <w:name w:val="Medium Grid 1 Accent 2"/>
    <w:uiPriority w:val="67"/>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0" w:type="dxa"/>
        <w:bottom w:w="0" w:type="dxa"/>
        <w:right w:w="0" w:type="dxa"/>
      </w:tblCellMar>
    </w:tblPr>
    <w:tcPr>
      <w:shd w:val="clear" w:color="auto" w:fill="FADECB"/>
    </w:tcPr>
  </w:style>
  <w:style w:type="table" w:styleId="MediumGrid1-Accent3">
    <w:name w:val="Medium Grid 1 Accent 3"/>
    <w:uiPriority w:val="67"/>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0" w:type="dxa"/>
        <w:bottom w:w="0" w:type="dxa"/>
        <w:right w:w="0" w:type="dxa"/>
      </w:tblCellMar>
    </w:tblPr>
    <w:tcPr>
      <w:shd w:val="clear" w:color="auto" w:fill="E8E8E8"/>
    </w:tcPr>
  </w:style>
  <w:style w:type="table" w:styleId="MediumGrid1-Accent4">
    <w:name w:val="Medium Grid 1 Accent 4"/>
    <w:uiPriority w:val="67"/>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0" w:type="dxa"/>
        <w:bottom w:w="0" w:type="dxa"/>
        <w:right w:w="0" w:type="dxa"/>
      </w:tblCellMar>
    </w:tblPr>
    <w:tcPr>
      <w:shd w:val="clear" w:color="auto" w:fill="FFEFC0"/>
    </w:tcPr>
  </w:style>
  <w:style w:type="table" w:styleId="MediumGrid1-Accent5">
    <w:name w:val="Medium Grid 1 Accent 5"/>
    <w:uiPriority w:val="67"/>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0" w:type="dxa"/>
        <w:bottom w:w="0" w:type="dxa"/>
        <w:right w:w="0" w:type="dxa"/>
      </w:tblCellMar>
    </w:tblPr>
    <w:tcPr>
      <w:shd w:val="clear" w:color="auto" w:fill="D0DBF0"/>
    </w:tcPr>
  </w:style>
  <w:style w:type="table" w:styleId="MediumGrid1-Accent6">
    <w:name w:val="Medium Grid 1 Accent 6"/>
    <w:uiPriority w:val="67"/>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0" w:type="dxa"/>
        <w:bottom w:w="0" w:type="dxa"/>
        <w:right w:w="0" w:type="dxa"/>
      </w:tblCellMar>
    </w:tblPr>
    <w:tcPr>
      <w:shd w:val="clear" w:color="auto" w:fill="DBEBD0"/>
    </w:tcPr>
  </w:style>
  <w:style w:type="table" w:styleId="MediumGrid2">
    <w:name w:val="Medium Grid 2"/>
    <w:uiPriority w:val="68"/>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styleId="MediumGrid2-Accent1">
    <w:name w:val="Medium Grid 2 Accent 1"/>
    <w:uiPriority w:val="68"/>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tcPr>
      <w:shd w:val="clear" w:color="auto" w:fill="D6E6F4"/>
    </w:tcPr>
  </w:style>
  <w:style w:type="table" w:styleId="MediumGrid2-Accent2">
    <w:name w:val="Medium Grid 2 Accent 2"/>
    <w:uiPriority w:val="68"/>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tcPr>
      <w:shd w:val="clear" w:color="auto" w:fill="FADECB"/>
    </w:tcPr>
  </w:style>
  <w:style w:type="table" w:styleId="MediumGrid2-Accent3">
    <w:name w:val="Medium Grid 2 Accent 3"/>
    <w:uiPriority w:val="68"/>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tcPr>
      <w:shd w:val="clear" w:color="auto" w:fill="E8E8E8"/>
    </w:tcPr>
  </w:style>
  <w:style w:type="table" w:styleId="MediumGrid2-Accent4">
    <w:name w:val="Medium Grid 2 Accent 4"/>
    <w:uiPriority w:val="68"/>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tcPr>
      <w:shd w:val="clear" w:color="auto" w:fill="FFEFC0"/>
    </w:tcPr>
  </w:style>
  <w:style w:type="table" w:styleId="MediumGrid2-Accent5">
    <w:name w:val="Medium Grid 2 Accent 5"/>
    <w:uiPriority w:val="68"/>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tcPr>
      <w:shd w:val="clear" w:color="auto" w:fill="D0DBF0"/>
    </w:tcPr>
  </w:style>
  <w:style w:type="table" w:styleId="MediumGrid2-Accent6">
    <w:name w:val="Medium Grid 2 Accent 6"/>
    <w:uiPriority w:val="68"/>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tcPr>
      <w:shd w:val="clear" w:color="auto" w:fill="DBEBD0"/>
    </w:tcPr>
  </w:style>
  <w:style w:type="table" w:styleId="MediumGrid3">
    <w:name w:val="Medium Grid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C0C0C0"/>
    </w:tcPr>
  </w:style>
  <w:style w:type="table" w:styleId="MediumGrid3-Accent1">
    <w:name w:val="Medium Grid 3 Accent 1"/>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6E6F4"/>
    </w:tcPr>
  </w:style>
  <w:style w:type="table" w:styleId="MediumGrid3-Accent2">
    <w:name w:val="Medium Grid 3 Accent 2"/>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ADECB"/>
    </w:tcPr>
  </w:style>
  <w:style w:type="table" w:styleId="MediumGrid3-Accent3">
    <w:name w:val="Medium Grid 3 Accent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E8E8E8"/>
    </w:tcPr>
  </w:style>
  <w:style w:type="table" w:styleId="MediumGrid3-Accent4">
    <w:name w:val="Medium Grid 3 Accent 4"/>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FEFC0"/>
    </w:tcPr>
  </w:style>
  <w:style w:type="table" w:styleId="MediumGrid3-Accent5">
    <w:name w:val="Medium Grid 3 Accent 5"/>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0DBF0"/>
    </w:tcPr>
  </w:style>
  <w:style w:type="table" w:styleId="MediumGrid3-Accent6">
    <w:name w:val="Medium Grid 3 Accent 6"/>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BEBD0"/>
    </w:tcPr>
  </w:style>
  <w:style w:type="table" w:styleId="MediumList1">
    <w:name w:val="Medium List 1"/>
    <w:uiPriority w:val="65"/>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MediumList1-Accent1">
    <w:name w:val="Medium List 1 Accent 1"/>
    <w:uiPriority w:val="65"/>
    <w:semiHidden/>
    <w:unhideWhenUsed/>
    <w:rsid w:val="00B825F7"/>
    <w:rPr>
      <w:color w:val="000000"/>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MediumList1-Accent2">
    <w:name w:val="Medium List 1 Accent 2"/>
    <w:uiPriority w:val="65"/>
    <w:semiHidden/>
    <w:unhideWhenUsed/>
    <w:rsid w:val="00B825F7"/>
    <w:rPr>
      <w:color w:val="000000"/>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MediumList1-Accent3">
    <w:name w:val="Medium List 1 Accent 3"/>
    <w:uiPriority w:val="65"/>
    <w:semiHidden/>
    <w:unhideWhenUsed/>
    <w:rsid w:val="00B825F7"/>
    <w:rPr>
      <w:color w:val="000000"/>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MediumList1-Accent4">
    <w:name w:val="Medium List 1 Accent 4"/>
    <w:uiPriority w:val="65"/>
    <w:semiHidden/>
    <w:unhideWhenUsed/>
    <w:rsid w:val="00B825F7"/>
    <w:rPr>
      <w:color w:val="0000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MediumList1-Accent5">
    <w:name w:val="Medium List 1 Accent 5"/>
    <w:uiPriority w:val="65"/>
    <w:semiHidden/>
    <w:unhideWhenUsed/>
    <w:rsid w:val="00B825F7"/>
    <w:rPr>
      <w:color w:val="000000"/>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MediumList1-Accent6">
    <w:name w:val="Medium List 1 Accent 6"/>
    <w:uiPriority w:val="65"/>
    <w:semiHidden/>
    <w:unhideWhenUsed/>
    <w:rsid w:val="00B825F7"/>
    <w:rPr>
      <w:color w:val="000000"/>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table" w:styleId="MediumList2">
    <w:name w:val="Medium List 2"/>
    <w:uiPriority w:val="66"/>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MediumList2-Accent1">
    <w:name w:val="Medium List 2 Accent 1"/>
    <w:uiPriority w:val="66"/>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MediumList2-Accent2">
    <w:name w:val="Medium List 2 Accent 2"/>
    <w:uiPriority w:val="66"/>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MediumList2-Accent3">
    <w:name w:val="Medium List 2 Accent 3"/>
    <w:uiPriority w:val="66"/>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MediumList2-Accent4">
    <w:name w:val="Medium List 2 Accent 4"/>
    <w:uiPriority w:val="66"/>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MediumList2-Accent5">
    <w:name w:val="Medium List 2 Accent 5"/>
    <w:uiPriority w:val="66"/>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MediumList2-Accent6">
    <w:name w:val="Medium List 2 Accent 6"/>
    <w:uiPriority w:val="66"/>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MediumShading1">
    <w:name w:val="Medium Shading 1"/>
    <w:uiPriority w:val="63"/>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0" w:type="dxa"/>
        <w:bottom w:w="0" w:type="dxa"/>
        <w:right w:w="0" w:type="dxa"/>
      </w:tblCellMar>
    </w:tblPr>
  </w:style>
  <w:style w:type="table" w:styleId="MediumShading1-Accent1">
    <w:name w:val="Medium Shading 1 Accent 1"/>
    <w:uiPriority w:val="63"/>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0" w:type="dxa"/>
        <w:bottom w:w="0" w:type="dxa"/>
        <w:right w:w="0" w:type="dxa"/>
      </w:tblCellMar>
    </w:tblPr>
  </w:style>
  <w:style w:type="table" w:styleId="MediumShading1-Accent2">
    <w:name w:val="Medium Shading 1 Accent 2"/>
    <w:uiPriority w:val="63"/>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0" w:type="dxa"/>
        <w:bottom w:w="0" w:type="dxa"/>
        <w:right w:w="0" w:type="dxa"/>
      </w:tblCellMar>
    </w:tblPr>
  </w:style>
  <w:style w:type="table" w:styleId="MediumShading1-Accent3">
    <w:name w:val="Medium Shading 1 Accent 3"/>
    <w:uiPriority w:val="63"/>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0" w:type="dxa"/>
        <w:bottom w:w="0" w:type="dxa"/>
        <w:right w:w="0" w:type="dxa"/>
      </w:tblCellMar>
    </w:tblPr>
  </w:style>
  <w:style w:type="table" w:styleId="MediumShading1-Accent4">
    <w:name w:val="Medium Shading 1 Accent 4"/>
    <w:uiPriority w:val="63"/>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0" w:type="dxa"/>
        <w:bottom w:w="0" w:type="dxa"/>
        <w:right w:w="0" w:type="dxa"/>
      </w:tblCellMar>
    </w:tblPr>
  </w:style>
  <w:style w:type="table" w:styleId="MediumShading1-Accent5">
    <w:name w:val="Medium Shading 1 Accent 5"/>
    <w:uiPriority w:val="63"/>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0" w:type="dxa"/>
        <w:bottom w:w="0" w:type="dxa"/>
        <w:right w:w="0" w:type="dxa"/>
      </w:tblCellMar>
    </w:tblPr>
  </w:style>
  <w:style w:type="table" w:styleId="MediumShading1-Accent6">
    <w:name w:val="Medium Shading 1 Accent 6"/>
    <w:uiPriority w:val="63"/>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0" w:type="dxa"/>
        <w:bottom w:w="0" w:type="dxa"/>
        <w:right w:w="0" w:type="dxa"/>
      </w:tblCellMar>
    </w:tblPr>
  </w:style>
  <w:style w:type="table" w:styleId="MediumShading2">
    <w:name w:val="Medium Shading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1">
    <w:name w:val="Medium Shading 2 Accent 1"/>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2">
    <w:name w:val="Medium Shading 2 Accent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3">
    <w:name w:val="Medium Shading 2 Accent 3"/>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4">
    <w:name w:val="Medium Shading 2 Accent 4"/>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5">
    <w:name w:val="Medium Shading 2 Accent 5"/>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6">
    <w:name w:val="Medium Shading 2 Accent 6"/>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paragraph" w:styleId="MessageHeader">
    <w:name w:val="Message Header"/>
    <w:link w:val="MessageHeaderChar"/>
    <w:uiPriority w:val="99"/>
    <w:semiHidden/>
    <w:unhideWhenUsed/>
    <w:rsid w:val="00B825F7"/>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z w:val="24"/>
      <w:szCs w:val="24"/>
    </w:rPr>
  </w:style>
  <w:style w:type="character" w:customStyle="1" w:styleId="MessageHeaderChar">
    <w:name w:val="Message Header Char"/>
    <w:link w:val="MessageHeader"/>
    <w:uiPriority w:val="99"/>
    <w:semiHidden/>
    <w:rsid w:val="00B825F7"/>
    <w:rPr>
      <w:rFonts w:ascii="Arial" w:eastAsia="Times New Roman" w:hAnsi="Arial" w:cs="Arial"/>
      <w:sz w:val="24"/>
      <w:szCs w:val="24"/>
      <w:shd w:val="pct20" w:color="auto" w:fill="auto"/>
    </w:rPr>
  </w:style>
  <w:style w:type="paragraph" w:styleId="NoSpacing">
    <w:name w:val="No Spacing"/>
    <w:uiPriority w:val="1"/>
    <w:qFormat/>
    <w:rsid w:val="00451CC4"/>
    <w:rPr>
      <w:rFonts w:cs="Arial"/>
      <w:sz w:val="22"/>
      <w:szCs w:val="22"/>
    </w:rPr>
  </w:style>
  <w:style w:type="paragraph" w:styleId="NormalWeb">
    <w:name w:val="Normal (Web)"/>
    <w:uiPriority w:val="99"/>
    <w:unhideWhenUsed/>
    <w:rsid w:val="00B825F7"/>
    <w:rPr>
      <w:rFonts w:cs="Arial"/>
      <w:sz w:val="24"/>
      <w:szCs w:val="24"/>
    </w:rPr>
  </w:style>
  <w:style w:type="paragraph" w:styleId="NormalIndent">
    <w:name w:val="Normal Indent"/>
    <w:uiPriority w:val="99"/>
    <w:semiHidden/>
    <w:unhideWhenUsed/>
    <w:rsid w:val="00B825F7"/>
    <w:pPr>
      <w:ind w:left="720"/>
    </w:pPr>
    <w:rPr>
      <w:rFonts w:cs="Arial"/>
      <w:sz w:val="22"/>
      <w:szCs w:val="22"/>
    </w:rPr>
  </w:style>
  <w:style w:type="paragraph" w:styleId="NoteHeading">
    <w:name w:val="Note Heading"/>
    <w:next w:val="Normal"/>
    <w:link w:val="NoteHeadingChar"/>
    <w:uiPriority w:val="99"/>
    <w:semiHidden/>
    <w:unhideWhenUsed/>
    <w:rsid w:val="00B825F7"/>
    <w:rPr>
      <w:rFonts w:cs="Arial"/>
      <w:sz w:val="22"/>
      <w:szCs w:val="22"/>
    </w:rPr>
  </w:style>
  <w:style w:type="character" w:customStyle="1" w:styleId="NoteHeadingChar">
    <w:name w:val="Note Heading Char"/>
    <w:basedOn w:val="DefaultParagraphFont"/>
    <w:link w:val="NoteHeading"/>
    <w:uiPriority w:val="99"/>
    <w:semiHidden/>
    <w:rsid w:val="00B825F7"/>
    <w:rPr>
      <w:rFonts w:ascii="Arial" w:hAnsi="Arial" w:cs="Arial"/>
    </w:rPr>
  </w:style>
  <w:style w:type="character" w:styleId="PageNumber">
    <w:name w:val="page number"/>
    <w:uiPriority w:val="99"/>
    <w:semiHidden/>
    <w:unhideWhenUsed/>
    <w:rsid w:val="00B825F7"/>
  </w:style>
  <w:style w:type="character" w:styleId="PlaceholderText">
    <w:name w:val="Placeholder Text"/>
    <w:uiPriority w:val="99"/>
    <w:semiHidden/>
    <w:rsid w:val="00B825F7"/>
    <w:rPr>
      <w:color w:val="808080"/>
    </w:rPr>
  </w:style>
  <w:style w:type="table" w:customStyle="1" w:styleId="PlainTable11">
    <w:name w:val="Plain Table 11"/>
    <w:uiPriority w:val="41"/>
    <w:rsid w:val="00B825F7"/>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customStyle="1" w:styleId="PlainTable21">
    <w:name w:val="Plain Table 21"/>
    <w:uiPriority w:val="42"/>
    <w:rsid w:val="00B825F7"/>
    <w:rPr>
      <w:sz w:val="22"/>
      <w:szCs w:val="22"/>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customStyle="1" w:styleId="PlainTable31">
    <w:name w:val="Plain Table 31"/>
    <w:uiPriority w:val="43"/>
    <w:rsid w:val="00B825F7"/>
    <w:rPr>
      <w:sz w:val="22"/>
      <w:szCs w:val="22"/>
    </w:rPr>
    <w:tblPr>
      <w:tblStyleRowBandSize w:val="1"/>
      <w:tblStyleColBandSize w:val="1"/>
      <w:tblCellMar>
        <w:top w:w="0" w:type="dxa"/>
        <w:left w:w="0" w:type="dxa"/>
        <w:bottom w:w="0" w:type="dxa"/>
        <w:right w:w="0" w:type="dxa"/>
      </w:tblCellMar>
    </w:tblPr>
  </w:style>
  <w:style w:type="table" w:customStyle="1" w:styleId="PlainTable41">
    <w:name w:val="Plain Table 41"/>
    <w:uiPriority w:val="44"/>
    <w:rsid w:val="00B825F7"/>
    <w:rPr>
      <w:sz w:val="22"/>
      <w:szCs w:val="22"/>
    </w:rPr>
    <w:tblPr>
      <w:tblStyleRowBandSize w:val="1"/>
      <w:tblStyleColBandSize w:val="1"/>
      <w:tblCellMar>
        <w:top w:w="0" w:type="dxa"/>
        <w:left w:w="0" w:type="dxa"/>
        <w:bottom w:w="0" w:type="dxa"/>
        <w:right w:w="0" w:type="dxa"/>
      </w:tblCellMar>
    </w:tblPr>
  </w:style>
  <w:style w:type="table" w:customStyle="1" w:styleId="PlainTable51">
    <w:name w:val="Plain Table 51"/>
    <w:uiPriority w:val="45"/>
    <w:rsid w:val="00B825F7"/>
    <w:rPr>
      <w:sz w:val="22"/>
      <w:szCs w:val="22"/>
    </w:rPr>
    <w:tblPr>
      <w:tblStyleRowBandSize w:val="1"/>
      <w:tblStyleColBandSize w:val="1"/>
      <w:tblCellMar>
        <w:top w:w="0" w:type="dxa"/>
        <w:left w:w="0" w:type="dxa"/>
        <w:bottom w:w="0" w:type="dxa"/>
        <w:right w:w="0" w:type="dxa"/>
      </w:tblCellMar>
    </w:tblPr>
  </w:style>
  <w:style w:type="paragraph" w:styleId="PlainText">
    <w:name w:val="Plain Text"/>
    <w:link w:val="PlainTextChar"/>
    <w:uiPriority w:val="99"/>
    <w:semiHidden/>
    <w:unhideWhenUsed/>
    <w:rsid w:val="00B825F7"/>
    <w:rPr>
      <w:rFonts w:cs="Arial"/>
    </w:rPr>
  </w:style>
  <w:style w:type="character" w:customStyle="1" w:styleId="PlainTextChar">
    <w:name w:val="Plain Text Char"/>
    <w:link w:val="PlainText"/>
    <w:uiPriority w:val="99"/>
    <w:semiHidden/>
    <w:rsid w:val="00B825F7"/>
    <w:rPr>
      <w:rFonts w:ascii="Arial" w:hAnsi="Arial" w:cs="Arial"/>
      <w:sz w:val="20"/>
      <w:szCs w:val="20"/>
    </w:rPr>
  </w:style>
  <w:style w:type="paragraph" w:styleId="Quote">
    <w:name w:val="Quote"/>
    <w:next w:val="Normal"/>
    <w:link w:val="QuoteChar"/>
    <w:uiPriority w:val="29"/>
    <w:qFormat/>
    <w:rsid w:val="00B825F7"/>
    <w:pPr>
      <w:spacing w:before="200"/>
      <w:ind w:left="864" w:right="864"/>
      <w:jc w:val="center"/>
    </w:pPr>
    <w:rPr>
      <w:rFonts w:cs="Arial"/>
      <w:i/>
      <w:iCs/>
      <w:color w:val="404040"/>
      <w:sz w:val="22"/>
      <w:szCs w:val="22"/>
    </w:rPr>
  </w:style>
  <w:style w:type="character" w:customStyle="1" w:styleId="QuoteChar">
    <w:name w:val="Quote Char"/>
    <w:link w:val="Quote"/>
    <w:uiPriority w:val="29"/>
    <w:rsid w:val="00B825F7"/>
    <w:rPr>
      <w:rFonts w:ascii="Arial" w:hAnsi="Arial" w:cs="Arial"/>
      <w:i/>
      <w:iCs/>
      <w:color w:val="404040"/>
    </w:rPr>
  </w:style>
  <w:style w:type="paragraph" w:styleId="Salutation">
    <w:name w:val="Salutation"/>
    <w:next w:val="Normal"/>
    <w:link w:val="SalutationChar"/>
    <w:uiPriority w:val="99"/>
    <w:semiHidden/>
    <w:unhideWhenUsed/>
    <w:rsid w:val="00B825F7"/>
    <w:rPr>
      <w:rFonts w:cs="Arial"/>
      <w:sz w:val="22"/>
      <w:szCs w:val="22"/>
    </w:rPr>
  </w:style>
  <w:style w:type="character" w:customStyle="1" w:styleId="SalutationChar">
    <w:name w:val="Salutation Char"/>
    <w:basedOn w:val="DefaultParagraphFont"/>
    <w:link w:val="Salutation"/>
    <w:uiPriority w:val="99"/>
    <w:semiHidden/>
    <w:rsid w:val="00B825F7"/>
    <w:rPr>
      <w:rFonts w:ascii="Arial" w:hAnsi="Arial" w:cs="Arial"/>
    </w:rPr>
  </w:style>
  <w:style w:type="paragraph" w:styleId="Signature">
    <w:name w:val="Signature"/>
    <w:link w:val="SignatureChar"/>
    <w:uiPriority w:val="99"/>
    <w:semiHidden/>
    <w:unhideWhenUsed/>
    <w:rsid w:val="00B825F7"/>
    <w:pPr>
      <w:ind w:left="4252"/>
    </w:pPr>
    <w:rPr>
      <w:rFonts w:cs="Arial"/>
      <w:sz w:val="22"/>
      <w:szCs w:val="22"/>
    </w:rPr>
  </w:style>
  <w:style w:type="character" w:customStyle="1" w:styleId="SignatureChar">
    <w:name w:val="Signature Char"/>
    <w:basedOn w:val="DefaultParagraphFont"/>
    <w:link w:val="Signature"/>
    <w:uiPriority w:val="99"/>
    <w:semiHidden/>
    <w:rsid w:val="00B825F7"/>
    <w:rPr>
      <w:rFonts w:ascii="Arial" w:hAnsi="Arial" w:cs="Arial"/>
    </w:rPr>
  </w:style>
  <w:style w:type="character" w:styleId="Strong">
    <w:name w:val="Strong"/>
    <w:uiPriority w:val="22"/>
    <w:qFormat/>
    <w:rsid w:val="00B825F7"/>
    <w:rPr>
      <w:b/>
      <w:bCs/>
    </w:rPr>
  </w:style>
  <w:style w:type="paragraph" w:styleId="Subtitle">
    <w:name w:val="Subtitle"/>
    <w:next w:val="Normal"/>
    <w:link w:val="SubtitleChar"/>
    <w:uiPriority w:val="11"/>
    <w:qFormat/>
    <w:rsid w:val="00B825F7"/>
    <w:pPr>
      <w:spacing w:after="60"/>
      <w:jc w:val="center"/>
      <w:outlineLvl w:val="1"/>
    </w:pPr>
    <w:rPr>
      <w:rFonts w:eastAsia="Times New Roman" w:cs="Arial"/>
      <w:sz w:val="24"/>
      <w:szCs w:val="24"/>
    </w:rPr>
  </w:style>
  <w:style w:type="character" w:customStyle="1" w:styleId="SubtitleChar">
    <w:name w:val="Subtitle Char"/>
    <w:link w:val="Subtitle"/>
    <w:uiPriority w:val="11"/>
    <w:rsid w:val="00B825F7"/>
    <w:rPr>
      <w:rFonts w:ascii="Arial" w:eastAsia="Times New Roman" w:hAnsi="Arial" w:cs="Arial"/>
      <w:sz w:val="24"/>
      <w:szCs w:val="24"/>
    </w:rPr>
  </w:style>
  <w:style w:type="character" w:styleId="SubtleEmphasis">
    <w:name w:val="Subtle Emphasis"/>
    <w:uiPriority w:val="19"/>
    <w:qFormat/>
    <w:rsid w:val="00B825F7"/>
    <w:rPr>
      <w:i/>
      <w:iCs/>
      <w:color w:val="404040"/>
    </w:rPr>
  </w:style>
  <w:style w:type="character" w:styleId="SubtleReference">
    <w:name w:val="Subtle Reference"/>
    <w:uiPriority w:val="31"/>
    <w:qFormat/>
    <w:rsid w:val="00B825F7"/>
    <w:rPr>
      <w:smallCaps/>
      <w:color w:val="5A5A5A"/>
    </w:rPr>
  </w:style>
  <w:style w:type="table" w:styleId="Table3Deffects1">
    <w:name w:val="Table 3D effects 1"/>
    <w:uiPriority w:val="99"/>
    <w:semiHidden/>
    <w:unhideWhenUsed/>
    <w:rsid w:val="00B825F7"/>
    <w:pPr>
      <w:spacing w:after="160" w:line="259" w:lineRule="auto"/>
    </w:pPr>
    <w:rPr>
      <w:sz w:val="22"/>
      <w:szCs w:val="22"/>
    </w:rPr>
    <w:tblPr>
      <w:tblCellMar>
        <w:top w:w="0" w:type="dxa"/>
        <w:left w:w="0" w:type="dxa"/>
        <w:bottom w:w="0" w:type="dxa"/>
        <w:right w:w="0" w:type="dxa"/>
      </w:tblCellMar>
    </w:tblPr>
    <w:tcPr>
      <w:shd w:val="solid" w:color="C0C0C0" w:fill="FFFFFF"/>
    </w:tcPr>
  </w:style>
  <w:style w:type="table" w:styleId="Table3Deffects2">
    <w:name w:val="Table 3D effects 2"/>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tcPr>
      <w:shd w:val="solid" w:color="C0C0C0" w:fill="FFFFFF"/>
    </w:tcPr>
  </w:style>
  <w:style w:type="table" w:styleId="Table3Deffects3">
    <w:name w:val="Table 3D effects 3"/>
    <w:uiPriority w:val="99"/>
    <w:semiHidden/>
    <w:unhideWhenUsed/>
    <w:rsid w:val="00B825F7"/>
    <w:pPr>
      <w:spacing w:after="160" w:line="259" w:lineRule="auto"/>
    </w:pPr>
    <w:rPr>
      <w:sz w:val="22"/>
      <w:szCs w:val="22"/>
    </w:rPr>
    <w:tblPr>
      <w:tblStyleRowBandSize w:val="1"/>
      <w:tblStyleColBandSize w:val="1"/>
      <w:tblCellMar>
        <w:top w:w="0" w:type="dxa"/>
        <w:left w:w="0" w:type="dxa"/>
        <w:bottom w:w="0" w:type="dxa"/>
        <w:right w:w="0" w:type="dxa"/>
      </w:tblCellMar>
    </w:tblPr>
  </w:style>
  <w:style w:type="table" w:styleId="TableClassic1">
    <w:name w:val="Table Classic 1"/>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uiPriority w:val="99"/>
    <w:semiHidden/>
    <w:unhideWhenUsed/>
    <w:rsid w:val="00B825F7"/>
    <w:pPr>
      <w:spacing w:after="160" w:line="259" w:lineRule="auto"/>
    </w:pPr>
    <w:rPr>
      <w:color w:val="000080"/>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uiPriority w:val="99"/>
    <w:semiHidden/>
    <w:unhideWhenUsed/>
    <w:rsid w:val="00B825F7"/>
    <w:pPr>
      <w:spacing w:after="160" w:line="259" w:lineRule="auto"/>
    </w:pPr>
    <w:rPr>
      <w:sz w:val="22"/>
      <w:szCs w:val="22"/>
    </w:r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uiPriority w:val="99"/>
    <w:semiHidden/>
    <w:unhideWhenUsed/>
    <w:rsid w:val="00B825F7"/>
    <w:pPr>
      <w:spacing w:after="160" w:line="259" w:lineRule="auto"/>
    </w:pPr>
    <w:rPr>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uiPriority w:val="99"/>
    <w:semiHidden/>
    <w:unhideWhenUsed/>
    <w:rsid w:val="00B825F7"/>
    <w:pPr>
      <w:spacing w:after="160" w:line="259" w:lineRule="auto"/>
    </w:pPr>
    <w:rPr>
      <w:sz w:val="22"/>
      <w:szCs w:val="22"/>
    </w:r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uiPriority w:val="99"/>
    <w:semiHidden/>
    <w:unhideWhenUsed/>
    <w:rsid w:val="00B825F7"/>
    <w:pPr>
      <w:spacing w:after="160" w:line="259" w:lineRule="auto"/>
    </w:pPr>
    <w:rPr>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uiPriority w:val="99"/>
    <w:semiHidden/>
    <w:unhideWhenUsed/>
    <w:rsid w:val="00B825F7"/>
    <w:pPr>
      <w:spacing w:after="160" w:line="259" w:lineRule="auto"/>
    </w:pPr>
    <w:rPr>
      <w:b/>
      <w:bCs/>
      <w:sz w:val="22"/>
      <w:szCs w:val="22"/>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uiPriority w:val="99"/>
    <w:semiHidden/>
    <w:unhideWhenUsed/>
    <w:rsid w:val="00B825F7"/>
    <w:pPr>
      <w:spacing w:after="160" w:line="259" w:lineRule="auto"/>
    </w:pPr>
    <w:rPr>
      <w:b/>
      <w:bCs/>
      <w:sz w:val="22"/>
      <w:szCs w:val="22"/>
    </w:rPr>
    <w:tblPr>
      <w:tblStyleColBandSize w:val="1"/>
      <w:tblCellMar>
        <w:top w:w="0" w:type="dxa"/>
        <w:left w:w="0" w:type="dxa"/>
        <w:bottom w:w="0" w:type="dxa"/>
        <w:right w:w="0" w:type="dxa"/>
      </w:tblCellMar>
    </w:tblPr>
  </w:style>
  <w:style w:type="table" w:styleId="TableColumns3">
    <w:name w:val="Table Columns 3"/>
    <w:uiPriority w:val="99"/>
    <w:semiHidden/>
    <w:unhideWhenUsed/>
    <w:rsid w:val="00B825F7"/>
    <w:pPr>
      <w:spacing w:after="160" w:line="259" w:lineRule="auto"/>
    </w:pPr>
    <w:rPr>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uiPriority w:val="99"/>
    <w:semiHidden/>
    <w:unhideWhenUsed/>
    <w:rsid w:val="00B825F7"/>
    <w:pPr>
      <w:spacing w:after="160" w:line="259" w:lineRule="auto"/>
    </w:pPr>
    <w:rPr>
      <w:sz w:val="22"/>
      <w:szCs w:val="22"/>
    </w:rPr>
    <w:tblPr>
      <w:tblStyleColBandSize w:val="1"/>
      <w:tblCellMar>
        <w:top w:w="0" w:type="dxa"/>
        <w:left w:w="0" w:type="dxa"/>
        <w:bottom w:w="0" w:type="dxa"/>
        <w:right w:w="0" w:type="dxa"/>
      </w:tblCellMar>
    </w:tblPr>
  </w:style>
  <w:style w:type="table" w:styleId="TableColumns5">
    <w:name w:val="Table Columns 5"/>
    <w:uiPriority w:val="99"/>
    <w:semiHidden/>
    <w:unhideWhenUsed/>
    <w:rsid w:val="00B825F7"/>
    <w:pPr>
      <w:spacing w:after="160" w:line="259" w:lineRule="auto"/>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uiPriority w:val="99"/>
    <w:semiHidden/>
    <w:unhideWhenUsed/>
    <w:rsid w:val="00B825F7"/>
    <w:pPr>
      <w:spacing w:after="160" w:line="259" w:lineRule="auto"/>
    </w:pPr>
    <w:rPr>
      <w:sz w:val="22"/>
      <w:szCs w:val="22"/>
    </w:r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uiPriority w:val="99"/>
    <w:semiHidden/>
    <w:unhideWhenUsed/>
    <w:rsid w:val="00B825F7"/>
    <w:pPr>
      <w:spacing w:after="160" w:line="259" w:lineRule="auto"/>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
    <w:name w:val="Table Grid"/>
    <w:uiPriority w:val="39"/>
    <w:rsid w:val="00B825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uiPriority w:val="99"/>
    <w:semiHidden/>
    <w:unhideWhenUsed/>
    <w:rsid w:val="00B825F7"/>
    <w:pPr>
      <w:spacing w:after="160" w:line="259" w:lineRule="auto"/>
    </w:pPr>
    <w:rPr>
      <w:sz w:val="22"/>
      <w:szCs w:val="22"/>
    </w:r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uiPriority w:val="99"/>
    <w:semiHidden/>
    <w:unhideWhenUsed/>
    <w:rsid w:val="00B825F7"/>
    <w:pPr>
      <w:spacing w:after="160" w:line="259" w:lineRule="auto"/>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uiPriority w:val="99"/>
    <w:semiHidden/>
    <w:unhideWhenUsed/>
    <w:rsid w:val="00B825F7"/>
    <w:pPr>
      <w:spacing w:after="160" w:line="259" w:lineRule="auto"/>
    </w:pPr>
    <w:rPr>
      <w:sz w:val="22"/>
      <w:szCs w:val="22"/>
    </w:r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uiPriority w:val="99"/>
    <w:semiHidden/>
    <w:unhideWhenUsed/>
    <w:rsid w:val="00B825F7"/>
    <w:pPr>
      <w:spacing w:after="160" w:line="259" w:lineRule="auto"/>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uiPriority w:val="99"/>
    <w:semiHidden/>
    <w:unhideWhenUsed/>
    <w:rsid w:val="00B825F7"/>
    <w:pPr>
      <w:spacing w:after="160" w:line="259"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customStyle="1" w:styleId="TableGridLight1">
    <w:name w:val="Table Grid Light1"/>
    <w:uiPriority w:val="40"/>
    <w:rsid w:val="00B825F7"/>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TableList1">
    <w:name w:val="Table List 1"/>
    <w:uiPriority w:val="99"/>
    <w:semiHidden/>
    <w:unhideWhenUsed/>
    <w:rsid w:val="00B825F7"/>
    <w:pPr>
      <w:spacing w:after="160" w:line="259" w:lineRule="auto"/>
    </w:pPr>
    <w:rPr>
      <w:sz w:val="22"/>
      <w:szCs w:val="22"/>
    </w:r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uiPriority w:val="99"/>
    <w:semiHidden/>
    <w:unhideWhenUsed/>
    <w:rsid w:val="00B825F7"/>
    <w:pPr>
      <w:spacing w:after="160" w:line="259" w:lineRule="auto"/>
    </w:pPr>
    <w:rPr>
      <w:sz w:val="22"/>
      <w:szCs w:val="22"/>
    </w:r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uiPriority w:val="99"/>
    <w:semiHidden/>
    <w:unhideWhenUsed/>
    <w:rsid w:val="00B825F7"/>
    <w:pPr>
      <w:spacing w:after="160" w:line="259" w:lineRule="auto"/>
    </w:pPr>
    <w:rPr>
      <w:sz w:val="22"/>
      <w:szCs w:val="22"/>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uiPriority w:val="99"/>
    <w:semiHidden/>
    <w:unhideWhenUsed/>
    <w:rsid w:val="00B825F7"/>
    <w:pPr>
      <w:spacing w:after="160" w:line="259" w:lineRule="auto"/>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uiPriority w:val="99"/>
    <w:semiHidden/>
    <w:unhideWhenUsed/>
    <w:rsid w:val="00B825F7"/>
    <w:pPr>
      <w:ind w:left="220" w:hanging="220"/>
    </w:pPr>
    <w:rPr>
      <w:rFonts w:cs="Arial"/>
      <w:sz w:val="22"/>
      <w:szCs w:val="22"/>
    </w:rPr>
  </w:style>
  <w:style w:type="paragraph" w:styleId="TableofFigures">
    <w:name w:val="table of figures"/>
    <w:next w:val="Normal"/>
    <w:uiPriority w:val="99"/>
    <w:semiHidden/>
    <w:unhideWhenUsed/>
    <w:rsid w:val="00B825F7"/>
    <w:rPr>
      <w:rFonts w:cs="Arial"/>
      <w:sz w:val="22"/>
      <w:szCs w:val="22"/>
    </w:rPr>
  </w:style>
  <w:style w:type="table" w:styleId="TableProfessional">
    <w:name w:val="Table Professional"/>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uiPriority w:val="99"/>
    <w:semiHidden/>
    <w:unhideWhenUsed/>
    <w:rsid w:val="00B825F7"/>
    <w:pPr>
      <w:spacing w:after="160" w:line="259" w:lineRule="auto"/>
    </w:pPr>
    <w:rPr>
      <w:sz w:val="22"/>
      <w:szCs w:val="22"/>
    </w:r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uiPriority w:val="99"/>
    <w:semiHidden/>
    <w:unhideWhenUsed/>
    <w:rsid w:val="00B825F7"/>
    <w:pPr>
      <w:spacing w:after="160" w:line="259" w:lineRule="auto"/>
    </w:pPr>
    <w:rPr>
      <w:sz w:val="22"/>
      <w:szCs w:val="22"/>
    </w:rPr>
    <w:tblPr>
      <w:tblCellMar>
        <w:top w:w="0" w:type="dxa"/>
        <w:left w:w="0" w:type="dxa"/>
        <w:bottom w:w="0" w:type="dxa"/>
        <w:right w:w="0" w:type="dxa"/>
      </w:tblCellMar>
    </w:tblPr>
  </w:style>
  <w:style w:type="table" w:styleId="TableSimple3">
    <w:name w:val="Table Simple 3"/>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style>
  <w:style w:type="table" w:styleId="TableSubtle2">
    <w:name w:val="Table Subtle 2"/>
    <w:uiPriority w:val="99"/>
    <w:semiHidden/>
    <w:unhideWhenUsed/>
    <w:rsid w:val="00B825F7"/>
    <w:pPr>
      <w:spacing w:after="160" w:line="259" w:lineRule="auto"/>
    </w:pPr>
    <w:rPr>
      <w:sz w:val="22"/>
      <w:szCs w:val="22"/>
    </w:r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uiPriority w:val="99"/>
    <w:semiHidden/>
    <w:unhideWhenUsed/>
    <w:rsid w:val="00B825F7"/>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uiPriority w:val="99"/>
    <w:semiHidden/>
    <w:unhideWhenUsed/>
    <w:rsid w:val="00B825F7"/>
    <w:pPr>
      <w:spacing w:after="160" w:line="259"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uiPriority w:val="99"/>
    <w:semiHidden/>
    <w:unhideWhenUsed/>
    <w:rsid w:val="00B825F7"/>
    <w:pPr>
      <w:spacing w:after="160" w:line="259"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uiPriority w:val="99"/>
    <w:semiHidden/>
    <w:unhideWhenUsed/>
    <w:rsid w:val="00B825F7"/>
    <w:pPr>
      <w:spacing w:after="160" w:line="259" w:lineRule="auto"/>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next w:val="Normal"/>
    <w:link w:val="TitleChar"/>
    <w:uiPriority w:val="10"/>
    <w:qFormat/>
    <w:rsid w:val="00B825F7"/>
    <w:pPr>
      <w:spacing w:before="240" w:after="60"/>
      <w:jc w:val="center"/>
      <w:outlineLvl w:val="0"/>
    </w:pPr>
    <w:rPr>
      <w:rFonts w:eastAsia="Times New Roman" w:cs="Arial"/>
      <w:b/>
      <w:bCs/>
      <w:kern w:val="28"/>
      <w:sz w:val="32"/>
      <w:szCs w:val="32"/>
    </w:rPr>
  </w:style>
  <w:style w:type="character" w:customStyle="1" w:styleId="TitleChar">
    <w:name w:val="Title Char"/>
    <w:link w:val="Title"/>
    <w:uiPriority w:val="10"/>
    <w:rsid w:val="00B825F7"/>
    <w:rPr>
      <w:rFonts w:ascii="Arial" w:eastAsia="Times New Roman" w:hAnsi="Arial" w:cs="Arial"/>
      <w:b/>
      <w:bCs/>
      <w:kern w:val="28"/>
      <w:sz w:val="32"/>
      <w:szCs w:val="32"/>
    </w:rPr>
  </w:style>
  <w:style w:type="paragraph" w:styleId="TOAHeading">
    <w:name w:val="toa heading"/>
    <w:next w:val="Normal"/>
    <w:uiPriority w:val="99"/>
    <w:semiHidden/>
    <w:unhideWhenUsed/>
    <w:rsid w:val="00B825F7"/>
    <w:pPr>
      <w:spacing w:before="120"/>
    </w:pPr>
    <w:rPr>
      <w:rFonts w:eastAsia="Times New Roman" w:cs="Arial"/>
      <w:b/>
      <w:bCs/>
      <w:sz w:val="24"/>
      <w:szCs w:val="24"/>
    </w:rPr>
  </w:style>
  <w:style w:type="paragraph" w:styleId="TOC1">
    <w:name w:val="toc 1"/>
    <w:next w:val="Normal"/>
    <w:autoRedefine/>
    <w:uiPriority w:val="39"/>
    <w:unhideWhenUsed/>
    <w:rsid w:val="00B825F7"/>
    <w:rPr>
      <w:rFonts w:cs="Arial"/>
      <w:sz w:val="22"/>
      <w:szCs w:val="22"/>
    </w:rPr>
  </w:style>
  <w:style w:type="paragraph" w:styleId="TOC2">
    <w:name w:val="toc 2"/>
    <w:next w:val="Normal"/>
    <w:autoRedefine/>
    <w:uiPriority w:val="39"/>
    <w:semiHidden/>
    <w:unhideWhenUsed/>
    <w:rsid w:val="00B825F7"/>
    <w:pPr>
      <w:ind w:left="220"/>
    </w:pPr>
    <w:rPr>
      <w:rFonts w:cs="Arial"/>
      <w:sz w:val="22"/>
      <w:szCs w:val="22"/>
    </w:rPr>
  </w:style>
  <w:style w:type="paragraph" w:styleId="TOC3">
    <w:name w:val="toc 3"/>
    <w:next w:val="Normal"/>
    <w:autoRedefine/>
    <w:uiPriority w:val="39"/>
    <w:unhideWhenUsed/>
    <w:rsid w:val="00B825F7"/>
    <w:pPr>
      <w:ind w:left="440"/>
    </w:pPr>
    <w:rPr>
      <w:rFonts w:cs="Arial"/>
      <w:sz w:val="22"/>
      <w:szCs w:val="22"/>
    </w:rPr>
  </w:style>
  <w:style w:type="paragraph" w:styleId="TOC4">
    <w:name w:val="toc 4"/>
    <w:next w:val="Normal"/>
    <w:autoRedefine/>
    <w:uiPriority w:val="39"/>
    <w:semiHidden/>
    <w:unhideWhenUsed/>
    <w:rsid w:val="00B825F7"/>
    <w:pPr>
      <w:ind w:left="660"/>
    </w:pPr>
    <w:rPr>
      <w:rFonts w:cs="Arial"/>
      <w:sz w:val="22"/>
      <w:szCs w:val="22"/>
    </w:rPr>
  </w:style>
  <w:style w:type="paragraph" w:styleId="TOC5">
    <w:name w:val="toc 5"/>
    <w:next w:val="Normal"/>
    <w:autoRedefine/>
    <w:uiPriority w:val="39"/>
    <w:semiHidden/>
    <w:unhideWhenUsed/>
    <w:rsid w:val="00B825F7"/>
    <w:pPr>
      <w:ind w:left="880"/>
    </w:pPr>
    <w:rPr>
      <w:rFonts w:cs="Arial"/>
      <w:sz w:val="22"/>
      <w:szCs w:val="22"/>
    </w:rPr>
  </w:style>
  <w:style w:type="paragraph" w:styleId="TOC6">
    <w:name w:val="toc 6"/>
    <w:next w:val="Normal"/>
    <w:autoRedefine/>
    <w:uiPriority w:val="39"/>
    <w:semiHidden/>
    <w:unhideWhenUsed/>
    <w:rsid w:val="00B825F7"/>
    <w:pPr>
      <w:ind w:left="1100"/>
    </w:pPr>
    <w:rPr>
      <w:rFonts w:cs="Arial"/>
      <w:sz w:val="22"/>
      <w:szCs w:val="22"/>
    </w:rPr>
  </w:style>
  <w:style w:type="paragraph" w:styleId="TOC7">
    <w:name w:val="toc 7"/>
    <w:next w:val="Normal"/>
    <w:autoRedefine/>
    <w:uiPriority w:val="39"/>
    <w:semiHidden/>
    <w:unhideWhenUsed/>
    <w:rsid w:val="00B825F7"/>
    <w:pPr>
      <w:ind w:left="1320"/>
    </w:pPr>
    <w:rPr>
      <w:rFonts w:cs="Arial"/>
      <w:sz w:val="22"/>
      <w:szCs w:val="22"/>
    </w:rPr>
  </w:style>
  <w:style w:type="paragraph" w:styleId="TOC8">
    <w:name w:val="toc 8"/>
    <w:next w:val="Normal"/>
    <w:autoRedefine/>
    <w:uiPriority w:val="39"/>
    <w:semiHidden/>
    <w:unhideWhenUsed/>
    <w:rsid w:val="00B825F7"/>
    <w:pPr>
      <w:ind w:left="1540"/>
    </w:pPr>
    <w:rPr>
      <w:rFonts w:cs="Arial"/>
      <w:sz w:val="22"/>
      <w:szCs w:val="22"/>
    </w:rPr>
  </w:style>
  <w:style w:type="paragraph" w:styleId="TOC9">
    <w:name w:val="toc 9"/>
    <w:next w:val="Normal"/>
    <w:autoRedefine/>
    <w:uiPriority w:val="39"/>
    <w:semiHidden/>
    <w:unhideWhenUsed/>
    <w:rsid w:val="00B825F7"/>
    <w:pPr>
      <w:ind w:left="1760"/>
    </w:pPr>
    <w:rPr>
      <w:rFonts w:cs="Arial"/>
      <w:sz w:val="22"/>
      <w:szCs w:val="22"/>
    </w:rPr>
  </w:style>
  <w:style w:type="paragraph" w:styleId="TOCHeading">
    <w:name w:val="TOC Heading"/>
    <w:next w:val="Normal"/>
    <w:uiPriority w:val="39"/>
    <w:unhideWhenUsed/>
    <w:qFormat/>
    <w:rsid w:val="00205C99"/>
    <w:rPr>
      <w:rFonts w:eastAsia="Times New Roman" w:cs="Arial"/>
      <w:b/>
      <w:bCs/>
      <w:kern w:val="32"/>
      <w:sz w:val="32"/>
      <w:szCs w:val="32"/>
    </w:rPr>
  </w:style>
  <w:style w:type="paragraph" w:customStyle="1" w:styleId="DJCStabletext">
    <w:name w:val="DJCS table text"/>
    <w:uiPriority w:val="3"/>
    <w:qFormat/>
    <w:rsid w:val="00205C99"/>
    <w:pPr>
      <w:spacing w:before="80" w:after="60"/>
    </w:pPr>
    <w:rPr>
      <w:rFonts w:eastAsia="Times New Roman"/>
      <w:sz w:val="22"/>
      <w:lang w:eastAsia="en-US"/>
    </w:rPr>
  </w:style>
  <w:style w:type="paragraph" w:customStyle="1" w:styleId="OPAtablebullet2">
    <w:name w:val="OPA table bullet 2"/>
    <w:basedOn w:val="DJCStabletext"/>
    <w:uiPriority w:val="11"/>
    <w:rsid w:val="00205C99"/>
    <w:pPr>
      <w:numPr>
        <w:ilvl w:val="1"/>
        <w:numId w:val="15"/>
      </w:numPr>
    </w:pPr>
  </w:style>
  <w:style w:type="paragraph" w:customStyle="1" w:styleId="OPAtablebullet1">
    <w:name w:val="OPA table bullet 1"/>
    <w:basedOn w:val="DJCStabletext"/>
    <w:uiPriority w:val="3"/>
    <w:qFormat/>
    <w:rsid w:val="00205C99"/>
    <w:pPr>
      <w:numPr>
        <w:numId w:val="15"/>
      </w:numPr>
    </w:pPr>
  </w:style>
  <w:style w:type="numbering" w:customStyle="1" w:styleId="ZZTablebullets">
    <w:name w:val="ZZ Table bullets"/>
    <w:basedOn w:val="NoList"/>
    <w:rsid w:val="00205C99"/>
    <w:pPr>
      <w:numPr>
        <w:numId w:val="14"/>
      </w:numPr>
    </w:pPr>
  </w:style>
  <w:style w:type="paragraph" w:customStyle="1" w:styleId="OPAtablecolheadwhite">
    <w:name w:val="OPA table col head white"/>
    <w:basedOn w:val="Normal"/>
    <w:uiPriority w:val="11"/>
    <w:rsid w:val="00205C99"/>
    <w:pPr>
      <w:spacing w:before="160" w:after="120"/>
    </w:pPr>
    <w:rPr>
      <w:rFonts w:eastAsia="Times New Roman" w:cs="Times New Roman"/>
      <w:b/>
      <w:color w:val="FFFFFF" w:themeColor="background1"/>
      <w:sz w:val="24"/>
      <w:szCs w:val="24"/>
      <w:lang w:eastAsia="en-US"/>
    </w:rPr>
  </w:style>
  <w:style w:type="table" w:customStyle="1" w:styleId="DJRtablestyleNavy">
    <w:name w:val="DJR table style Navy"/>
    <w:basedOn w:val="TableNormal"/>
    <w:uiPriority w:val="99"/>
    <w:rsid w:val="00205C99"/>
    <w:rPr>
      <w:rFonts w:eastAsia="Times New Roman"/>
    </w:rPr>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cPr>
      <w:shd w:val="clear" w:color="auto" w:fill="auto"/>
    </w:tcPr>
    <w:tblStylePr w:type="firstRow">
      <w:tblPr/>
      <w:tcPr>
        <w:tcBorders>
          <w:insideV w:val="single" w:sz="4" w:space="0" w:color="FFFFFF" w:themeColor="background1"/>
        </w:tcBorders>
        <w:shd w:val="clear" w:color="auto" w:fill="44546A" w:themeFill="text2"/>
      </w:tcPr>
    </w:tblStylePr>
  </w:style>
  <w:style w:type="paragraph" w:customStyle="1" w:styleId="OPAreportsubtitlecover">
    <w:name w:val="OPA report subtitle cover"/>
    <w:basedOn w:val="Normal"/>
    <w:uiPriority w:val="4"/>
    <w:rsid w:val="00205C99"/>
    <w:pPr>
      <w:spacing w:before="0" w:after="120" w:line="380" w:lineRule="atLeast"/>
      <w:ind w:left="567"/>
    </w:pPr>
    <w:rPr>
      <w:rFonts w:eastAsia="Times New Roman" w:cs="Times New Roman"/>
      <w:sz w:val="32"/>
      <w:szCs w:val="30"/>
      <w:lang w:eastAsia="en-US"/>
    </w:rPr>
  </w:style>
  <w:style w:type="paragraph" w:customStyle="1" w:styleId="OPAreportmaintitlecover">
    <w:name w:val="OPA report main title cover"/>
    <w:uiPriority w:val="4"/>
    <w:rsid w:val="00205C99"/>
    <w:pPr>
      <w:keepLines/>
      <w:spacing w:after="240" w:line="580" w:lineRule="atLeast"/>
      <w:ind w:left="567"/>
    </w:pPr>
    <w:rPr>
      <w:rFonts w:eastAsia="Times New Roman"/>
      <w:b/>
      <w:bCs/>
      <w:color w:val="A5A5A5" w:themeColor="accent3"/>
      <w:sz w:val="52"/>
      <w:szCs w:val="50"/>
      <w:lang w:eastAsia="en-US"/>
    </w:rPr>
  </w:style>
  <w:style w:type="paragraph" w:customStyle="1" w:styleId="Heading1OPA">
    <w:name w:val="Heading 1 OPA"/>
    <w:basedOn w:val="Heading1"/>
    <w:next w:val="NormalOPA"/>
    <w:link w:val="Heading1OPAChar"/>
    <w:qFormat/>
    <w:rsid w:val="00041537"/>
    <w:pPr>
      <w:keepLines/>
      <w:spacing w:before="360" w:line="260" w:lineRule="atLeast"/>
      <w:ind w:left="709" w:hanging="709"/>
    </w:pPr>
    <w:rPr>
      <w:rFonts w:eastAsia="MS Gothic"/>
      <w:szCs w:val="40"/>
      <w:lang w:eastAsia="en-US"/>
    </w:rPr>
  </w:style>
  <w:style w:type="paragraph" w:customStyle="1" w:styleId="Heading2OPA">
    <w:name w:val="Heading 2 OPA"/>
    <w:basedOn w:val="Heading3"/>
    <w:next w:val="Normal"/>
    <w:link w:val="Heading2OPAChar"/>
    <w:qFormat/>
    <w:rsid w:val="00205C99"/>
    <w:pPr>
      <w:keepLines/>
      <w:spacing w:before="280" w:after="120" w:line="200" w:lineRule="atLeast"/>
      <w:ind w:left="709" w:hanging="709"/>
    </w:pPr>
    <w:rPr>
      <w:rFonts w:eastAsia="MS Gothic"/>
      <w:kern w:val="32"/>
      <w:sz w:val="28"/>
      <w:szCs w:val="28"/>
      <w:lang w:eastAsia="en-US"/>
    </w:rPr>
  </w:style>
  <w:style w:type="character" w:customStyle="1" w:styleId="Heading1OPAChar">
    <w:name w:val="Heading 1 OPA Char"/>
    <w:link w:val="Heading1OPA"/>
    <w:rsid w:val="00041537"/>
    <w:rPr>
      <w:rFonts w:eastAsia="MS Gothic" w:cs="Arial"/>
      <w:b/>
      <w:bCs/>
      <w:kern w:val="32"/>
      <w:sz w:val="32"/>
      <w:szCs w:val="40"/>
      <w:lang w:eastAsia="en-US"/>
    </w:rPr>
  </w:style>
  <w:style w:type="character" w:customStyle="1" w:styleId="Heading2OPAChar">
    <w:name w:val="Heading 2 OPA Char"/>
    <w:link w:val="Heading2OPA"/>
    <w:rsid w:val="00205C99"/>
    <w:rPr>
      <w:rFonts w:eastAsia="MS Gothic" w:cs="Arial"/>
      <w:b/>
      <w:bCs/>
      <w:kern w:val="32"/>
      <w:sz w:val="28"/>
      <w:szCs w:val="28"/>
      <w:lang w:eastAsia="en-US"/>
    </w:rPr>
  </w:style>
  <w:style w:type="paragraph" w:customStyle="1" w:styleId="NormalOPA">
    <w:name w:val="Normal OPA"/>
    <w:basedOn w:val="Normal"/>
    <w:link w:val="NormalOPAChar"/>
    <w:qFormat/>
    <w:rsid w:val="002960CC"/>
    <w:pPr>
      <w:spacing w:before="120" w:after="120" w:line="276" w:lineRule="auto"/>
      <w:ind w:left="720"/>
    </w:pPr>
    <w:rPr>
      <w:rFonts w:eastAsia="Times" w:cs="Times New Roman"/>
      <w:szCs w:val="20"/>
      <w:lang w:eastAsia="en-US"/>
    </w:rPr>
  </w:style>
  <w:style w:type="character" w:customStyle="1" w:styleId="NormalOPAChar">
    <w:name w:val="Normal OPA Char"/>
    <w:link w:val="NormalOPA"/>
    <w:rsid w:val="002960CC"/>
    <w:rPr>
      <w:rFonts w:eastAsia="Times"/>
      <w:sz w:val="22"/>
      <w:lang w:eastAsia="en-US"/>
    </w:rPr>
  </w:style>
  <w:style w:type="paragraph" w:customStyle="1" w:styleId="OPAtableheading">
    <w:name w:val="OPA table heading"/>
    <w:basedOn w:val="TableofFigures"/>
    <w:qFormat/>
    <w:rsid w:val="00205C99"/>
    <w:pPr>
      <w:spacing w:before="240" w:after="120"/>
    </w:pPr>
    <w:rPr>
      <w:b/>
      <w:sz w:val="28"/>
      <w:szCs w:val="28"/>
    </w:rPr>
  </w:style>
  <w:style w:type="paragraph" w:customStyle="1" w:styleId="BoldtextOPA">
    <w:name w:val="Bold text OPA"/>
    <w:basedOn w:val="NormalOPA"/>
    <w:next w:val="NormalOPA"/>
    <w:qFormat/>
    <w:rsid w:val="00205C99"/>
    <w:rPr>
      <w:b/>
    </w:rPr>
  </w:style>
  <w:style w:type="paragraph" w:customStyle="1" w:styleId="Heading3OPA">
    <w:name w:val="Heading 3 OPA"/>
    <w:basedOn w:val="Heading3"/>
    <w:next w:val="NormalOPA"/>
    <w:qFormat/>
    <w:rsid w:val="00205C99"/>
    <w:pPr>
      <w:keepLines/>
      <w:numPr>
        <w:ilvl w:val="2"/>
      </w:numPr>
      <w:spacing w:before="360" w:line="260" w:lineRule="atLeast"/>
      <w:ind w:left="709" w:hanging="709"/>
    </w:pPr>
    <w:rPr>
      <w:rFonts w:eastAsia="MS Gothic"/>
      <w:kern w:val="32"/>
      <w:sz w:val="24"/>
      <w:szCs w:val="24"/>
      <w:lang w:eastAsia="en-US"/>
    </w:rPr>
  </w:style>
  <w:style w:type="paragraph" w:customStyle="1" w:styleId="CaseStudyheading">
    <w:name w:val="Case Study heading"/>
    <w:basedOn w:val="BoldtextOPA"/>
    <w:qFormat/>
    <w:rsid w:val="00205C99"/>
    <w:rPr>
      <w:sz w:val="24"/>
    </w:rPr>
  </w:style>
  <w:style w:type="paragraph" w:customStyle="1" w:styleId="casestudybody">
    <w:name w:val="case study body"/>
    <w:basedOn w:val="CaseStudyheading"/>
    <w:qFormat/>
    <w:rsid w:val="00205C99"/>
    <w:pPr>
      <w:spacing w:line="240" w:lineRule="auto"/>
      <w:ind w:right="680"/>
    </w:pPr>
    <w:rPr>
      <w:b w:val="0"/>
    </w:rPr>
  </w:style>
  <w:style w:type="character" w:customStyle="1" w:styleId="UnresolvedMention1">
    <w:name w:val="Unresolved Mention1"/>
    <w:basedOn w:val="DefaultParagraphFont"/>
    <w:uiPriority w:val="99"/>
    <w:semiHidden/>
    <w:unhideWhenUsed/>
    <w:rsid w:val="009F3012"/>
    <w:rPr>
      <w:color w:val="605E5C"/>
      <w:shd w:val="clear" w:color="auto" w:fill="E1DFDD"/>
    </w:rPr>
  </w:style>
  <w:style w:type="paragraph" w:customStyle="1" w:styleId="Pa2">
    <w:name w:val="Pa2"/>
    <w:basedOn w:val="Normal"/>
    <w:next w:val="Normal"/>
    <w:uiPriority w:val="99"/>
    <w:rsid w:val="00A31AFB"/>
    <w:pPr>
      <w:autoSpaceDE w:val="0"/>
      <w:autoSpaceDN w:val="0"/>
      <w:adjustRightInd w:val="0"/>
      <w:spacing w:before="0" w:after="0" w:line="221" w:lineRule="atLeast"/>
    </w:pPr>
    <w:rPr>
      <w:rFonts w:ascii="Helvetica 45 Light" w:hAnsi="Helvetica 45 Light" w:cs="Times New Roman"/>
      <w:sz w:val="24"/>
      <w:szCs w:val="24"/>
    </w:rPr>
  </w:style>
  <w:style w:type="character" w:customStyle="1" w:styleId="A8">
    <w:name w:val="A8"/>
    <w:uiPriority w:val="99"/>
    <w:rsid w:val="00A31AFB"/>
    <w:rPr>
      <w:rFonts w:cs="Helvetica 45 Light"/>
      <w:color w:val="000000"/>
      <w:sz w:val="11"/>
      <w:szCs w:val="11"/>
    </w:rPr>
  </w:style>
  <w:style w:type="paragraph" w:customStyle="1" w:styleId="paragraph">
    <w:name w:val="paragraph"/>
    <w:basedOn w:val="Normal"/>
    <w:rsid w:val="0014054F"/>
    <w:pPr>
      <w:spacing w:before="100" w:beforeAutospacing="1" w:after="100" w:afterAutospacing="1"/>
    </w:pPr>
    <w:rPr>
      <w:rFonts w:ascii="Times New Roman" w:eastAsia="Times New Roman" w:hAnsi="Times New Roman" w:cs="Times New Roman"/>
      <w:sz w:val="24"/>
      <w:szCs w:val="24"/>
      <w:lang w:val="en-CA" w:eastAsia="en-US"/>
    </w:rPr>
  </w:style>
  <w:style w:type="character" w:customStyle="1" w:styleId="normaltextrun">
    <w:name w:val="normaltextrun"/>
    <w:basedOn w:val="DefaultParagraphFont"/>
    <w:rsid w:val="0014054F"/>
  </w:style>
  <w:style w:type="character" w:customStyle="1" w:styleId="eop">
    <w:name w:val="eop"/>
    <w:basedOn w:val="DefaultParagraphFont"/>
    <w:rsid w:val="0014054F"/>
  </w:style>
  <w:style w:type="character" w:customStyle="1" w:styleId="advancedproofingissue">
    <w:name w:val="advancedproofingissue"/>
    <w:basedOn w:val="DefaultParagraphFont"/>
    <w:rsid w:val="0014054F"/>
  </w:style>
  <w:style w:type="paragraph" w:customStyle="1" w:styleId="Default">
    <w:name w:val="Default"/>
    <w:rsid w:val="00B3579F"/>
    <w:pPr>
      <w:autoSpaceDE w:val="0"/>
      <w:autoSpaceDN w:val="0"/>
      <w:adjustRightInd w:val="0"/>
    </w:pPr>
    <w:rPr>
      <w:rFonts w:ascii="Helvetica 45 Light" w:hAnsi="Helvetica 45 Light" w:cs="Helvetica 45 Light"/>
      <w:color w:val="000000"/>
      <w:sz w:val="24"/>
      <w:szCs w:val="24"/>
    </w:rPr>
  </w:style>
  <w:style w:type="paragraph" w:customStyle="1" w:styleId="Pa15">
    <w:name w:val="Pa15"/>
    <w:basedOn w:val="Default"/>
    <w:next w:val="Default"/>
    <w:uiPriority w:val="99"/>
    <w:rsid w:val="00B3579F"/>
    <w:pPr>
      <w:spacing w:line="221" w:lineRule="atLeast"/>
    </w:pPr>
    <w:rPr>
      <w:rFonts w:cs="Times New Roman"/>
      <w:color w:val="auto"/>
    </w:rPr>
  </w:style>
  <w:style w:type="paragraph" w:customStyle="1" w:styleId="Pa53">
    <w:name w:val="Pa53"/>
    <w:basedOn w:val="Default"/>
    <w:next w:val="Default"/>
    <w:uiPriority w:val="99"/>
    <w:rsid w:val="00B3579F"/>
    <w:pPr>
      <w:spacing w:line="221" w:lineRule="atLeast"/>
    </w:pPr>
    <w:rPr>
      <w:rFonts w:cs="Times New Roman"/>
      <w:color w:val="auto"/>
    </w:rPr>
  </w:style>
  <w:style w:type="paragraph" w:styleId="Revision">
    <w:name w:val="Revision"/>
    <w:hidden/>
    <w:uiPriority w:val="99"/>
    <w:semiHidden/>
    <w:rsid w:val="00733F72"/>
    <w:rPr>
      <w:rFonts w:cs="Arial"/>
      <w:sz w:val="22"/>
      <w:szCs w:val="22"/>
    </w:rPr>
  </w:style>
  <w:style w:type="character" w:styleId="UnresolvedMention">
    <w:name w:val="Unresolved Mention"/>
    <w:basedOn w:val="DefaultParagraphFont"/>
    <w:uiPriority w:val="99"/>
    <w:semiHidden/>
    <w:unhideWhenUsed/>
    <w:rsid w:val="00A47AE2"/>
    <w:rPr>
      <w:color w:val="605E5C"/>
      <w:shd w:val="clear" w:color="auto" w:fill="E1DFDD"/>
    </w:rPr>
  </w:style>
  <w:style w:type="character" w:customStyle="1" w:styleId="scxo215464846">
    <w:name w:val="scxo215464846"/>
    <w:basedOn w:val="DefaultParagraphFont"/>
    <w:rsid w:val="00F86EE4"/>
  </w:style>
  <w:style w:type="character" w:customStyle="1" w:styleId="spellingerror">
    <w:name w:val="spellingerror"/>
    <w:basedOn w:val="DefaultParagraphFont"/>
    <w:rsid w:val="00F86EE4"/>
  </w:style>
  <w:style w:type="character" w:customStyle="1" w:styleId="contextualspellingandgrammarerror">
    <w:name w:val="contextualspellingandgrammarerror"/>
    <w:basedOn w:val="DefaultParagraphFont"/>
    <w:rsid w:val="00A86665"/>
  </w:style>
  <w:style w:type="character" w:customStyle="1" w:styleId="scxo140025493">
    <w:name w:val="scxo140025493"/>
    <w:basedOn w:val="DefaultParagraphFont"/>
    <w:rsid w:val="00421577"/>
  </w:style>
  <w:style w:type="character" w:customStyle="1" w:styleId="h2">
    <w:name w:val="h2"/>
    <w:basedOn w:val="DefaultParagraphFont"/>
    <w:rsid w:val="00231759"/>
  </w:style>
  <w:style w:type="character" w:customStyle="1" w:styleId="lblnewsfulltext">
    <w:name w:val="lblnewsfulltext"/>
    <w:basedOn w:val="DefaultParagraphFont"/>
    <w:rsid w:val="00231759"/>
  </w:style>
  <w:style w:type="paragraph" w:customStyle="1" w:styleId="xmsonormal">
    <w:name w:val="x_msonormal"/>
    <w:basedOn w:val="Normal"/>
    <w:rsid w:val="00E962BB"/>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962B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8452">
      <w:bodyDiv w:val="1"/>
      <w:marLeft w:val="0"/>
      <w:marRight w:val="0"/>
      <w:marTop w:val="0"/>
      <w:marBottom w:val="0"/>
      <w:divBdr>
        <w:top w:val="none" w:sz="0" w:space="0" w:color="auto"/>
        <w:left w:val="none" w:sz="0" w:space="0" w:color="auto"/>
        <w:bottom w:val="none" w:sz="0" w:space="0" w:color="auto"/>
        <w:right w:val="none" w:sz="0" w:space="0" w:color="auto"/>
      </w:divBdr>
    </w:div>
    <w:div w:id="21982524">
      <w:bodyDiv w:val="1"/>
      <w:marLeft w:val="0"/>
      <w:marRight w:val="0"/>
      <w:marTop w:val="0"/>
      <w:marBottom w:val="0"/>
      <w:divBdr>
        <w:top w:val="none" w:sz="0" w:space="0" w:color="auto"/>
        <w:left w:val="none" w:sz="0" w:space="0" w:color="auto"/>
        <w:bottom w:val="none" w:sz="0" w:space="0" w:color="auto"/>
        <w:right w:val="none" w:sz="0" w:space="0" w:color="auto"/>
      </w:divBdr>
    </w:div>
    <w:div w:id="30691415">
      <w:bodyDiv w:val="1"/>
      <w:marLeft w:val="0"/>
      <w:marRight w:val="0"/>
      <w:marTop w:val="0"/>
      <w:marBottom w:val="0"/>
      <w:divBdr>
        <w:top w:val="none" w:sz="0" w:space="0" w:color="auto"/>
        <w:left w:val="none" w:sz="0" w:space="0" w:color="auto"/>
        <w:bottom w:val="none" w:sz="0" w:space="0" w:color="auto"/>
        <w:right w:val="none" w:sz="0" w:space="0" w:color="auto"/>
      </w:divBdr>
    </w:div>
    <w:div w:id="30736628">
      <w:bodyDiv w:val="1"/>
      <w:marLeft w:val="0"/>
      <w:marRight w:val="0"/>
      <w:marTop w:val="0"/>
      <w:marBottom w:val="0"/>
      <w:divBdr>
        <w:top w:val="none" w:sz="0" w:space="0" w:color="auto"/>
        <w:left w:val="none" w:sz="0" w:space="0" w:color="auto"/>
        <w:bottom w:val="none" w:sz="0" w:space="0" w:color="auto"/>
        <w:right w:val="none" w:sz="0" w:space="0" w:color="auto"/>
      </w:divBdr>
    </w:div>
    <w:div w:id="76169162">
      <w:bodyDiv w:val="1"/>
      <w:marLeft w:val="0"/>
      <w:marRight w:val="0"/>
      <w:marTop w:val="0"/>
      <w:marBottom w:val="0"/>
      <w:divBdr>
        <w:top w:val="none" w:sz="0" w:space="0" w:color="auto"/>
        <w:left w:val="none" w:sz="0" w:space="0" w:color="auto"/>
        <w:bottom w:val="none" w:sz="0" w:space="0" w:color="auto"/>
        <w:right w:val="none" w:sz="0" w:space="0" w:color="auto"/>
      </w:divBdr>
    </w:div>
    <w:div w:id="76288576">
      <w:bodyDiv w:val="1"/>
      <w:marLeft w:val="0"/>
      <w:marRight w:val="0"/>
      <w:marTop w:val="0"/>
      <w:marBottom w:val="0"/>
      <w:divBdr>
        <w:top w:val="none" w:sz="0" w:space="0" w:color="auto"/>
        <w:left w:val="none" w:sz="0" w:space="0" w:color="auto"/>
        <w:bottom w:val="none" w:sz="0" w:space="0" w:color="auto"/>
        <w:right w:val="none" w:sz="0" w:space="0" w:color="auto"/>
      </w:divBdr>
    </w:div>
    <w:div w:id="82380870">
      <w:bodyDiv w:val="1"/>
      <w:marLeft w:val="0"/>
      <w:marRight w:val="0"/>
      <w:marTop w:val="0"/>
      <w:marBottom w:val="0"/>
      <w:divBdr>
        <w:top w:val="none" w:sz="0" w:space="0" w:color="auto"/>
        <w:left w:val="none" w:sz="0" w:space="0" w:color="auto"/>
        <w:bottom w:val="none" w:sz="0" w:space="0" w:color="auto"/>
        <w:right w:val="none" w:sz="0" w:space="0" w:color="auto"/>
      </w:divBdr>
    </w:div>
    <w:div w:id="98766324">
      <w:bodyDiv w:val="1"/>
      <w:marLeft w:val="0"/>
      <w:marRight w:val="0"/>
      <w:marTop w:val="0"/>
      <w:marBottom w:val="0"/>
      <w:divBdr>
        <w:top w:val="none" w:sz="0" w:space="0" w:color="auto"/>
        <w:left w:val="none" w:sz="0" w:space="0" w:color="auto"/>
        <w:bottom w:val="none" w:sz="0" w:space="0" w:color="auto"/>
        <w:right w:val="none" w:sz="0" w:space="0" w:color="auto"/>
      </w:divBdr>
    </w:div>
    <w:div w:id="100607285">
      <w:bodyDiv w:val="1"/>
      <w:marLeft w:val="0"/>
      <w:marRight w:val="0"/>
      <w:marTop w:val="0"/>
      <w:marBottom w:val="0"/>
      <w:divBdr>
        <w:top w:val="none" w:sz="0" w:space="0" w:color="auto"/>
        <w:left w:val="none" w:sz="0" w:space="0" w:color="auto"/>
        <w:bottom w:val="none" w:sz="0" w:space="0" w:color="auto"/>
        <w:right w:val="none" w:sz="0" w:space="0" w:color="auto"/>
      </w:divBdr>
    </w:div>
    <w:div w:id="114564573">
      <w:bodyDiv w:val="1"/>
      <w:marLeft w:val="0"/>
      <w:marRight w:val="0"/>
      <w:marTop w:val="0"/>
      <w:marBottom w:val="0"/>
      <w:divBdr>
        <w:top w:val="none" w:sz="0" w:space="0" w:color="auto"/>
        <w:left w:val="none" w:sz="0" w:space="0" w:color="auto"/>
        <w:bottom w:val="none" w:sz="0" w:space="0" w:color="auto"/>
        <w:right w:val="none" w:sz="0" w:space="0" w:color="auto"/>
      </w:divBdr>
    </w:div>
    <w:div w:id="115221302">
      <w:bodyDiv w:val="1"/>
      <w:marLeft w:val="0"/>
      <w:marRight w:val="0"/>
      <w:marTop w:val="0"/>
      <w:marBottom w:val="0"/>
      <w:divBdr>
        <w:top w:val="none" w:sz="0" w:space="0" w:color="auto"/>
        <w:left w:val="none" w:sz="0" w:space="0" w:color="auto"/>
        <w:bottom w:val="none" w:sz="0" w:space="0" w:color="auto"/>
        <w:right w:val="none" w:sz="0" w:space="0" w:color="auto"/>
      </w:divBdr>
    </w:div>
    <w:div w:id="166755322">
      <w:bodyDiv w:val="1"/>
      <w:marLeft w:val="0"/>
      <w:marRight w:val="0"/>
      <w:marTop w:val="0"/>
      <w:marBottom w:val="0"/>
      <w:divBdr>
        <w:top w:val="none" w:sz="0" w:space="0" w:color="auto"/>
        <w:left w:val="none" w:sz="0" w:space="0" w:color="auto"/>
        <w:bottom w:val="none" w:sz="0" w:space="0" w:color="auto"/>
        <w:right w:val="none" w:sz="0" w:space="0" w:color="auto"/>
      </w:divBdr>
    </w:div>
    <w:div w:id="167331376">
      <w:bodyDiv w:val="1"/>
      <w:marLeft w:val="0"/>
      <w:marRight w:val="0"/>
      <w:marTop w:val="0"/>
      <w:marBottom w:val="0"/>
      <w:divBdr>
        <w:top w:val="none" w:sz="0" w:space="0" w:color="auto"/>
        <w:left w:val="none" w:sz="0" w:space="0" w:color="auto"/>
        <w:bottom w:val="none" w:sz="0" w:space="0" w:color="auto"/>
        <w:right w:val="none" w:sz="0" w:space="0" w:color="auto"/>
      </w:divBdr>
    </w:div>
    <w:div w:id="173300997">
      <w:bodyDiv w:val="1"/>
      <w:marLeft w:val="0"/>
      <w:marRight w:val="0"/>
      <w:marTop w:val="0"/>
      <w:marBottom w:val="0"/>
      <w:divBdr>
        <w:top w:val="none" w:sz="0" w:space="0" w:color="auto"/>
        <w:left w:val="none" w:sz="0" w:space="0" w:color="auto"/>
        <w:bottom w:val="none" w:sz="0" w:space="0" w:color="auto"/>
        <w:right w:val="none" w:sz="0" w:space="0" w:color="auto"/>
      </w:divBdr>
    </w:div>
    <w:div w:id="180629698">
      <w:bodyDiv w:val="1"/>
      <w:marLeft w:val="0"/>
      <w:marRight w:val="0"/>
      <w:marTop w:val="0"/>
      <w:marBottom w:val="0"/>
      <w:divBdr>
        <w:top w:val="none" w:sz="0" w:space="0" w:color="auto"/>
        <w:left w:val="none" w:sz="0" w:space="0" w:color="auto"/>
        <w:bottom w:val="none" w:sz="0" w:space="0" w:color="auto"/>
        <w:right w:val="none" w:sz="0" w:space="0" w:color="auto"/>
      </w:divBdr>
    </w:div>
    <w:div w:id="213348562">
      <w:bodyDiv w:val="1"/>
      <w:marLeft w:val="0"/>
      <w:marRight w:val="0"/>
      <w:marTop w:val="0"/>
      <w:marBottom w:val="0"/>
      <w:divBdr>
        <w:top w:val="none" w:sz="0" w:space="0" w:color="auto"/>
        <w:left w:val="none" w:sz="0" w:space="0" w:color="auto"/>
        <w:bottom w:val="none" w:sz="0" w:space="0" w:color="auto"/>
        <w:right w:val="none" w:sz="0" w:space="0" w:color="auto"/>
      </w:divBdr>
    </w:div>
    <w:div w:id="214127957">
      <w:bodyDiv w:val="1"/>
      <w:marLeft w:val="0"/>
      <w:marRight w:val="0"/>
      <w:marTop w:val="0"/>
      <w:marBottom w:val="0"/>
      <w:divBdr>
        <w:top w:val="none" w:sz="0" w:space="0" w:color="auto"/>
        <w:left w:val="none" w:sz="0" w:space="0" w:color="auto"/>
        <w:bottom w:val="none" w:sz="0" w:space="0" w:color="auto"/>
        <w:right w:val="none" w:sz="0" w:space="0" w:color="auto"/>
      </w:divBdr>
    </w:div>
    <w:div w:id="219289625">
      <w:bodyDiv w:val="1"/>
      <w:marLeft w:val="0"/>
      <w:marRight w:val="0"/>
      <w:marTop w:val="0"/>
      <w:marBottom w:val="0"/>
      <w:divBdr>
        <w:top w:val="none" w:sz="0" w:space="0" w:color="auto"/>
        <w:left w:val="none" w:sz="0" w:space="0" w:color="auto"/>
        <w:bottom w:val="none" w:sz="0" w:space="0" w:color="auto"/>
        <w:right w:val="none" w:sz="0" w:space="0" w:color="auto"/>
      </w:divBdr>
    </w:div>
    <w:div w:id="235896728">
      <w:bodyDiv w:val="1"/>
      <w:marLeft w:val="0"/>
      <w:marRight w:val="0"/>
      <w:marTop w:val="0"/>
      <w:marBottom w:val="0"/>
      <w:divBdr>
        <w:top w:val="none" w:sz="0" w:space="0" w:color="auto"/>
        <w:left w:val="none" w:sz="0" w:space="0" w:color="auto"/>
        <w:bottom w:val="none" w:sz="0" w:space="0" w:color="auto"/>
        <w:right w:val="none" w:sz="0" w:space="0" w:color="auto"/>
      </w:divBdr>
    </w:div>
    <w:div w:id="243881560">
      <w:bodyDiv w:val="1"/>
      <w:marLeft w:val="0"/>
      <w:marRight w:val="0"/>
      <w:marTop w:val="0"/>
      <w:marBottom w:val="0"/>
      <w:divBdr>
        <w:top w:val="none" w:sz="0" w:space="0" w:color="auto"/>
        <w:left w:val="none" w:sz="0" w:space="0" w:color="auto"/>
        <w:bottom w:val="none" w:sz="0" w:space="0" w:color="auto"/>
        <w:right w:val="none" w:sz="0" w:space="0" w:color="auto"/>
      </w:divBdr>
    </w:div>
    <w:div w:id="256183282">
      <w:bodyDiv w:val="1"/>
      <w:marLeft w:val="0"/>
      <w:marRight w:val="0"/>
      <w:marTop w:val="0"/>
      <w:marBottom w:val="0"/>
      <w:divBdr>
        <w:top w:val="none" w:sz="0" w:space="0" w:color="auto"/>
        <w:left w:val="none" w:sz="0" w:space="0" w:color="auto"/>
        <w:bottom w:val="none" w:sz="0" w:space="0" w:color="auto"/>
        <w:right w:val="none" w:sz="0" w:space="0" w:color="auto"/>
      </w:divBdr>
    </w:div>
    <w:div w:id="290946146">
      <w:bodyDiv w:val="1"/>
      <w:marLeft w:val="0"/>
      <w:marRight w:val="0"/>
      <w:marTop w:val="0"/>
      <w:marBottom w:val="0"/>
      <w:divBdr>
        <w:top w:val="none" w:sz="0" w:space="0" w:color="auto"/>
        <w:left w:val="none" w:sz="0" w:space="0" w:color="auto"/>
        <w:bottom w:val="none" w:sz="0" w:space="0" w:color="auto"/>
        <w:right w:val="none" w:sz="0" w:space="0" w:color="auto"/>
      </w:divBdr>
    </w:div>
    <w:div w:id="315575662">
      <w:bodyDiv w:val="1"/>
      <w:marLeft w:val="0"/>
      <w:marRight w:val="0"/>
      <w:marTop w:val="0"/>
      <w:marBottom w:val="0"/>
      <w:divBdr>
        <w:top w:val="none" w:sz="0" w:space="0" w:color="auto"/>
        <w:left w:val="none" w:sz="0" w:space="0" w:color="auto"/>
        <w:bottom w:val="none" w:sz="0" w:space="0" w:color="auto"/>
        <w:right w:val="none" w:sz="0" w:space="0" w:color="auto"/>
      </w:divBdr>
    </w:div>
    <w:div w:id="321468612">
      <w:bodyDiv w:val="1"/>
      <w:marLeft w:val="0"/>
      <w:marRight w:val="0"/>
      <w:marTop w:val="0"/>
      <w:marBottom w:val="0"/>
      <w:divBdr>
        <w:top w:val="none" w:sz="0" w:space="0" w:color="auto"/>
        <w:left w:val="none" w:sz="0" w:space="0" w:color="auto"/>
        <w:bottom w:val="none" w:sz="0" w:space="0" w:color="auto"/>
        <w:right w:val="none" w:sz="0" w:space="0" w:color="auto"/>
      </w:divBdr>
    </w:div>
    <w:div w:id="332729414">
      <w:bodyDiv w:val="1"/>
      <w:marLeft w:val="0"/>
      <w:marRight w:val="0"/>
      <w:marTop w:val="0"/>
      <w:marBottom w:val="0"/>
      <w:divBdr>
        <w:top w:val="none" w:sz="0" w:space="0" w:color="auto"/>
        <w:left w:val="none" w:sz="0" w:space="0" w:color="auto"/>
        <w:bottom w:val="none" w:sz="0" w:space="0" w:color="auto"/>
        <w:right w:val="none" w:sz="0" w:space="0" w:color="auto"/>
      </w:divBdr>
    </w:div>
    <w:div w:id="344551995">
      <w:bodyDiv w:val="1"/>
      <w:marLeft w:val="0"/>
      <w:marRight w:val="0"/>
      <w:marTop w:val="0"/>
      <w:marBottom w:val="0"/>
      <w:divBdr>
        <w:top w:val="none" w:sz="0" w:space="0" w:color="auto"/>
        <w:left w:val="none" w:sz="0" w:space="0" w:color="auto"/>
        <w:bottom w:val="none" w:sz="0" w:space="0" w:color="auto"/>
        <w:right w:val="none" w:sz="0" w:space="0" w:color="auto"/>
      </w:divBdr>
    </w:div>
    <w:div w:id="351223008">
      <w:bodyDiv w:val="1"/>
      <w:marLeft w:val="0"/>
      <w:marRight w:val="0"/>
      <w:marTop w:val="0"/>
      <w:marBottom w:val="0"/>
      <w:divBdr>
        <w:top w:val="none" w:sz="0" w:space="0" w:color="auto"/>
        <w:left w:val="none" w:sz="0" w:space="0" w:color="auto"/>
        <w:bottom w:val="none" w:sz="0" w:space="0" w:color="auto"/>
        <w:right w:val="none" w:sz="0" w:space="0" w:color="auto"/>
      </w:divBdr>
    </w:div>
    <w:div w:id="358505970">
      <w:bodyDiv w:val="1"/>
      <w:marLeft w:val="0"/>
      <w:marRight w:val="0"/>
      <w:marTop w:val="0"/>
      <w:marBottom w:val="0"/>
      <w:divBdr>
        <w:top w:val="none" w:sz="0" w:space="0" w:color="auto"/>
        <w:left w:val="none" w:sz="0" w:space="0" w:color="auto"/>
        <w:bottom w:val="none" w:sz="0" w:space="0" w:color="auto"/>
        <w:right w:val="none" w:sz="0" w:space="0" w:color="auto"/>
      </w:divBdr>
    </w:div>
    <w:div w:id="366568884">
      <w:bodyDiv w:val="1"/>
      <w:marLeft w:val="0"/>
      <w:marRight w:val="0"/>
      <w:marTop w:val="0"/>
      <w:marBottom w:val="0"/>
      <w:divBdr>
        <w:top w:val="none" w:sz="0" w:space="0" w:color="auto"/>
        <w:left w:val="none" w:sz="0" w:space="0" w:color="auto"/>
        <w:bottom w:val="none" w:sz="0" w:space="0" w:color="auto"/>
        <w:right w:val="none" w:sz="0" w:space="0" w:color="auto"/>
      </w:divBdr>
    </w:div>
    <w:div w:id="392317265">
      <w:bodyDiv w:val="1"/>
      <w:marLeft w:val="0"/>
      <w:marRight w:val="0"/>
      <w:marTop w:val="0"/>
      <w:marBottom w:val="0"/>
      <w:divBdr>
        <w:top w:val="none" w:sz="0" w:space="0" w:color="auto"/>
        <w:left w:val="none" w:sz="0" w:space="0" w:color="auto"/>
        <w:bottom w:val="none" w:sz="0" w:space="0" w:color="auto"/>
        <w:right w:val="none" w:sz="0" w:space="0" w:color="auto"/>
      </w:divBdr>
    </w:div>
    <w:div w:id="393043874">
      <w:bodyDiv w:val="1"/>
      <w:marLeft w:val="0"/>
      <w:marRight w:val="0"/>
      <w:marTop w:val="0"/>
      <w:marBottom w:val="0"/>
      <w:divBdr>
        <w:top w:val="none" w:sz="0" w:space="0" w:color="auto"/>
        <w:left w:val="none" w:sz="0" w:space="0" w:color="auto"/>
        <w:bottom w:val="none" w:sz="0" w:space="0" w:color="auto"/>
        <w:right w:val="none" w:sz="0" w:space="0" w:color="auto"/>
      </w:divBdr>
    </w:div>
    <w:div w:id="404376652">
      <w:bodyDiv w:val="1"/>
      <w:marLeft w:val="0"/>
      <w:marRight w:val="0"/>
      <w:marTop w:val="0"/>
      <w:marBottom w:val="0"/>
      <w:divBdr>
        <w:top w:val="none" w:sz="0" w:space="0" w:color="auto"/>
        <w:left w:val="none" w:sz="0" w:space="0" w:color="auto"/>
        <w:bottom w:val="none" w:sz="0" w:space="0" w:color="auto"/>
        <w:right w:val="none" w:sz="0" w:space="0" w:color="auto"/>
      </w:divBdr>
    </w:div>
    <w:div w:id="421419307">
      <w:bodyDiv w:val="1"/>
      <w:marLeft w:val="0"/>
      <w:marRight w:val="0"/>
      <w:marTop w:val="0"/>
      <w:marBottom w:val="0"/>
      <w:divBdr>
        <w:top w:val="none" w:sz="0" w:space="0" w:color="auto"/>
        <w:left w:val="none" w:sz="0" w:space="0" w:color="auto"/>
        <w:bottom w:val="none" w:sz="0" w:space="0" w:color="auto"/>
        <w:right w:val="none" w:sz="0" w:space="0" w:color="auto"/>
      </w:divBdr>
    </w:div>
    <w:div w:id="431821282">
      <w:bodyDiv w:val="1"/>
      <w:marLeft w:val="0"/>
      <w:marRight w:val="0"/>
      <w:marTop w:val="0"/>
      <w:marBottom w:val="0"/>
      <w:divBdr>
        <w:top w:val="none" w:sz="0" w:space="0" w:color="auto"/>
        <w:left w:val="none" w:sz="0" w:space="0" w:color="auto"/>
        <w:bottom w:val="none" w:sz="0" w:space="0" w:color="auto"/>
        <w:right w:val="none" w:sz="0" w:space="0" w:color="auto"/>
      </w:divBdr>
    </w:div>
    <w:div w:id="475027546">
      <w:bodyDiv w:val="1"/>
      <w:marLeft w:val="0"/>
      <w:marRight w:val="0"/>
      <w:marTop w:val="0"/>
      <w:marBottom w:val="0"/>
      <w:divBdr>
        <w:top w:val="none" w:sz="0" w:space="0" w:color="auto"/>
        <w:left w:val="none" w:sz="0" w:space="0" w:color="auto"/>
        <w:bottom w:val="none" w:sz="0" w:space="0" w:color="auto"/>
        <w:right w:val="none" w:sz="0" w:space="0" w:color="auto"/>
      </w:divBdr>
    </w:div>
    <w:div w:id="477890150">
      <w:bodyDiv w:val="1"/>
      <w:marLeft w:val="0"/>
      <w:marRight w:val="0"/>
      <w:marTop w:val="0"/>
      <w:marBottom w:val="0"/>
      <w:divBdr>
        <w:top w:val="none" w:sz="0" w:space="0" w:color="auto"/>
        <w:left w:val="none" w:sz="0" w:space="0" w:color="auto"/>
        <w:bottom w:val="none" w:sz="0" w:space="0" w:color="auto"/>
        <w:right w:val="none" w:sz="0" w:space="0" w:color="auto"/>
      </w:divBdr>
    </w:div>
    <w:div w:id="478348319">
      <w:bodyDiv w:val="1"/>
      <w:marLeft w:val="0"/>
      <w:marRight w:val="0"/>
      <w:marTop w:val="0"/>
      <w:marBottom w:val="0"/>
      <w:divBdr>
        <w:top w:val="none" w:sz="0" w:space="0" w:color="auto"/>
        <w:left w:val="none" w:sz="0" w:space="0" w:color="auto"/>
        <w:bottom w:val="none" w:sz="0" w:space="0" w:color="auto"/>
        <w:right w:val="none" w:sz="0" w:space="0" w:color="auto"/>
      </w:divBdr>
    </w:div>
    <w:div w:id="493229520">
      <w:bodyDiv w:val="1"/>
      <w:marLeft w:val="0"/>
      <w:marRight w:val="0"/>
      <w:marTop w:val="0"/>
      <w:marBottom w:val="0"/>
      <w:divBdr>
        <w:top w:val="none" w:sz="0" w:space="0" w:color="auto"/>
        <w:left w:val="none" w:sz="0" w:space="0" w:color="auto"/>
        <w:bottom w:val="none" w:sz="0" w:space="0" w:color="auto"/>
        <w:right w:val="none" w:sz="0" w:space="0" w:color="auto"/>
      </w:divBdr>
    </w:div>
    <w:div w:id="524445700">
      <w:bodyDiv w:val="1"/>
      <w:marLeft w:val="0"/>
      <w:marRight w:val="0"/>
      <w:marTop w:val="0"/>
      <w:marBottom w:val="0"/>
      <w:divBdr>
        <w:top w:val="none" w:sz="0" w:space="0" w:color="auto"/>
        <w:left w:val="none" w:sz="0" w:space="0" w:color="auto"/>
        <w:bottom w:val="none" w:sz="0" w:space="0" w:color="auto"/>
        <w:right w:val="none" w:sz="0" w:space="0" w:color="auto"/>
      </w:divBdr>
    </w:div>
    <w:div w:id="528110197">
      <w:bodyDiv w:val="1"/>
      <w:marLeft w:val="0"/>
      <w:marRight w:val="0"/>
      <w:marTop w:val="0"/>
      <w:marBottom w:val="0"/>
      <w:divBdr>
        <w:top w:val="none" w:sz="0" w:space="0" w:color="auto"/>
        <w:left w:val="none" w:sz="0" w:space="0" w:color="auto"/>
        <w:bottom w:val="none" w:sz="0" w:space="0" w:color="auto"/>
        <w:right w:val="none" w:sz="0" w:space="0" w:color="auto"/>
      </w:divBdr>
    </w:div>
    <w:div w:id="549346954">
      <w:bodyDiv w:val="1"/>
      <w:marLeft w:val="0"/>
      <w:marRight w:val="0"/>
      <w:marTop w:val="0"/>
      <w:marBottom w:val="0"/>
      <w:divBdr>
        <w:top w:val="none" w:sz="0" w:space="0" w:color="auto"/>
        <w:left w:val="none" w:sz="0" w:space="0" w:color="auto"/>
        <w:bottom w:val="none" w:sz="0" w:space="0" w:color="auto"/>
        <w:right w:val="none" w:sz="0" w:space="0" w:color="auto"/>
      </w:divBdr>
    </w:div>
    <w:div w:id="558398880">
      <w:bodyDiv w:val="1"/>
      <w:marLeft w:val="0"/>
      <w:marRight w:val="0"/>
      <w:marTop w:val="0"/>
      <w:marBottom w:val="0"/>
      <w:divBdr>
        <w:top w:val="none" w:sz="0" w:space="0" w:color="auto"/>
        <w:left w:val="none" w:sz="0" w:space="0" w:color="auto"/>
        <w:bottom w:val="none" w:sz="0" w:space="0" w:color="auto"/>
        <w:right w:val="none" w:sz="0" w:space="0" w:color="auto"/>
      </w:divBdr>
    </w:div>
    <w:div w:id="561411597">
      <w:bodyDiv w:val="1"/>
      <w:marLeft w:val="0"/>
      <w:marRight w:val="0"/>
      <w:marTop w:val="0"/>
      <w:marBottom w:val="0"/>
      <w:divBdr>
        <w:top w:val="none" w:sz="0" w:space="0" w:color="auto"/>
        <w:left w:val="none" w:sz="0" w:space="0" w:color="auto"/>
        <w:bottom w:val="none" w:sz="0" w:space="0" w:color="auto"/>
        <w:right w:val="none" w:sz="0" w:space="0" w:color="auto"/>
      </w:divBdr>
    </w:div>
    <w:div w:id="593981802">
      <w:bodyDiv w:val="1"/>
      <w:marLeft w:val="0"/>
      <w:marRight w:val="0"/>
      <w:marTop w:val="0"/>
      <w:marBottom w:val="0"/>
      <w:divBdr>
        <w:top w:val="none" w:sz="0" w:space="0" w:color="auto"/>
        <w:left w:val="none" w:sz="0" w:space="0" w:color="auto"/>
        <w:bottom w:val="none" w:sz="0" w:space="0" w:color="auto"/>
        <w:right w:val="none" w:sz="0" w:space="0" w:color="auto"/>
      </w:divBdr>
    </w:div>
    <w:div w:id="625432249">
      <w:bodyDiv w:val="1"/>
      <w:marLeft w:val="0"/>
      <w:marRight w:val="0"/>
      <w:marTop w:val="0"/>
      <w:marBottom w:val="0"/>
      <w:divBdr>
        <w:top w:val="none" w:sz="0" w:space="0" w:color="auto"/>
        <w:left w:val="none" w:sz="0" w:space="0" w:color="auto"/>
        <w:bottom w:val="none" w:sz="0" w:space="0" w:color="auto"/>
        <w:right w:val="none" w:sz="0" w:space="0" w:color="auto"/>
      </w:divBdr>
    </w:div>
    <w:div w:id="664743250">
      <w:bodyDiv w:val="1"/>
      <w:marLeft w:val="0"/>
      <w:marRight w:val="0"/>
      <w:marTop w:val="0"/>
      <w:marBottom w:val="0"/>
      <w:divBdr>
        <w:top w:val="none" w:sz="0" w:space="0" w:color="auto"/>
        <w:left w:val="none" w:sz="0" w:space="0" w:color="auto"/>
        <w:bottom w:val="none" w:sz="0" w:space="0" w:color="auto"/>
        <w:right w:val="none" w:sz="0" w:space="0" w:color="auto"/>
      </w:divBdr>
    </w:div>
    <w:div w:id="703793290">
      <w:bodyDiv w:val="1"/>
      <w:marLeft w:val="0"/>
      <w:marRight w:val="0"/>
      <w:marTop w:val="0"/>
      <w:marBottom w:val="0"/>
      <w:divBdr>
        <w:top w:val="none" w:sz="0" w:space="0" w:color="auto"/>
        <w:left w:val="none" w:sz="0" w:space="0" w:color="auto"/>
        <w:bottom w:val="none" w:sz="0" w:space="0" w:color="auto"/>
        <w:right w:val="none" w:sz="0" w:space="0" w:color="auto"/>
      </w:divBdr>
      <w:divsChild>
        <w:div w:id="1981960872">
          <w:marLeft w:val="0"/>
          <w:marRight w:val="0"/>
          <w:marTop w:val="0"/>
          <w:marBottom w:val="0"/>
          <w:divBdr>
            <w:top w:val="none" w:sz="0" w:space="0" w:color="auto"/>
            <w:left w:val="none" w:sz="0" w:space="0" w:color="auto"/>
            <w:bottom w:val="none" w:sz="0" w:space="0" w:color="auto"/>
            <w:right w:val="none" w:sz="0" w:space="0" w:color="auto"/>
          </w:divBdr>
        </w:div>
      </w:divsChild>
    </w:div>
    <w:div w:id="733741858">
      <w:bodyDiv w:val="1"/>
      <w:marLeft w:val="0"/>
      <w:marRight w:val="0"/>
      <w:marTop w:val="0"/>
      <w:marBottom w:val="0"/>
      <w:divBdr>
        <w:top w:val="none" w:sz="0" w:space="0" w:color="auto"/>
        <w:left w:val="none" w:sz="0" w:space="0" w:color="auto"/>
        <w:bottom w:val="none" w:sz="0" w:space="0" w:color="auto"/>
        <w:right w:val="none" w:sz="0" w:space="0" w:color="auto"/>
      </w:divBdr>
    </w:div>
    <w:div w:id="742488553">
      <w:bodyDiv w:val="1"/>
      <w:marLeft w:val="0"/>
      <w:marRight w:val="0"/>
      <w:marTop w:val="0"/>
      <w:marBottom w:val="0"/>
      <w:divBdr>
        <w:top w:val="none" w:sz="0" w:space="0" w:color="auto"/>
        <w:left w:val="none" w:sz="0" w:space="0" w:color="auto"/>
        <w:bottom w:val="none" w:sz="0" w:space="0" w:color="auto"/>
        <w:right w:val="none" w:sz="0" w:space="0" w:color="auto"/>
      </w:divBdr>
    </w:div>
    <w:div w:id="743339674">
      <w:bodyDiv w:val="1"/>
      <w:marLeft w:val="0"/>
      <w:marRight w:val="0"/>
      <w:marTop w:val="0"/>
      <w:marBottom w:val="0"/>
      <w:divBdr>
        <w:top w:val="none" w:sz="0" w:space="0" w:color="auto"/>
        <w:left w:val="none" w:sz="0" w:space="0" w:color="auto"/>
        <w:bottom w:val="none" w:sz="0" w:space="0" w:color="auto"/>
        <w:right w:val="none" w:sz="0" w:space="0" w:color="auto"/>
      </w:divBdr>
      <w:divsChild>
        <w:div w:id="1317034775">
          <w:marLeft w:val="0"/>
          <w:marRight w:val="0"/>
          <w:marTop w:val="0"/>
          <w:marBottom w:val="0"/>
          <w:divBdr>
            <w:top w:val="none" w:sz="0" w:space="0" w:color="auto"/>
            <w:left w:val="none" w:sz="0" w:space="0" w:color="auto"/>
            <w:bottom w:val="none" w:sz="0" w:space="0" w:color="auto"/>
            <w:right w:val="none" w:sz="0" w:space="0" w:color="auto"/>
          </w:divBdr>
        </w:div>
        <w:div w:id="1781753076">
          <w:marLeft w:val="0"/>
          <w:marRight w:val="0"/>
          <w:marTop w:val="0"/>
          <w:marBottom w:val="0"/>
          <w:divBdr>
            <w:top w:val="none" w:sz="0" w:space="0" w:color="auto"/>
            <w:left w:val="none" w:sz="0" w:space="0" w:color="auto"/>
            <w:bottom w:val="none" w:sz="0" w:space="0" w:color="auto"/>
            <w:right w:val="none" w:sz="0" w:space="0" w:color="auto"/>
          </w:divBdr>
        </w:div>
        <w:div w:id="1348409968">
          <w:marLeft w:val="0"/>
          <w:marRight w:val="0"/>
          <w:marTop w:val="0"/>
          <w:marBottom w:val="0"/>
          <w:divBdr>
            <w:top w:val="none" w:sz="0" w:space="0" w:color="auto"/>
            <w:left w:val="none" w:sz="0" w:space="0" w:color="auto"/>
            <w:bottom w:val="none" w:sz="0" w:space="0" w:color="auto"/>
            <w:right w:val="none" w:sz="0" w:space="0" w:color="auto"/>
          </w:divBdr>
        </w:div>
        <w:div w:id="1652174082">
          <w:marLeft w:val="0"/>
          <w:marRight w:val="0"/>
          <w:marTop w:val="0"/>
          <w:marBottom w:val="0"/>
          <w:divBdr>
            <w:top w:val="none" w:sz="0" w:space="0" w:color="auto"/>
            <w:left w:val="none" w:sz="0" w:space="0" w:color="auto"/>
            <w:bottom w:val="none" w:sz="0" w:space="0" w:color="auto"/>
            <w:right w:val="none" w:sz="0" w:space="0" w:color="auto"/>
          </w:divBdr>
        </w:div>
        <w:div w:id="1115252701">
          <w:marLeft w:val="0"/>
          <w:marRight w:val="0"/>
          <w:marTop w:val="0"/>
          <w:marBottom w:val="0"/>
          <w:divBdr>
            <w:top w:val="none" w:sz="0" w:space="0" w:color="auto"/>
            <w:left w:val="none" w:sz="0" w:space="0" w:color="auto"/>
            <w:bottom w:val="none" w:sz="0" w:space="0" w:color="auto"/>
            <w:right w:val="none" w:sz="0" w:space="0" w:color="auto"/>
          </w:divBdr>
        </w:div>
      </w:divsChild>
    </w:div>
    <w:div w:id="750275551">
      <w:bodyDiv w:val="1"/>
      <w:marLeft w:val="0"/>
      <w:marRight w:val="0"/>
      <w:marTop w:val="0"/>
      <w:marBottom w:val="0"/>
      <w:divBdr>
        <w:top w:val="none" w:sz="0" w:space="0" w:color="auto"/>
        <w:left w:val="none" w:sz="0" w:space="0" w:color="auto"/>
        <w:bottom w:val="none" w:sz="0" w:space="0" w:color="auto"/>
        <w:right w:val="none" w:sz="0" w:space="0" w:color="auto"/>
      </w:divBdr>
    </w:div>
    <w:div w:id="750391673">
      <w:bodyDiv w:val="1"/>
      <w:marLeft w:val="0"/>
      <w:marRight w:val="0"/>
      <w:marTop w:val="0"/>
      <w:marBottom w:val="0"/>
      <w:divBdr>
        <w:top w:val="none" w:sz="0" w:space="0" w:color="auto"/>
        <w:left w:val="none" w:sz="0" w:space="0" w:color="auto"/>
        <w:bottom w:val="none" w:sz="0" w:space="0" w:color="auto"/>
        <w:right w:val="none" w:sz="0" w:space="0" w:color="auto"/>
      </w:divBdr>
    </w:div>
    <w:div w:id="756248641">
      <w:bodyDiv w:val="1"/>
      <w:marLeft w:val="0"/>
      <w:marRight w:val="0"/>
      <w:marTop w:val="0"/>
      <w:marBottom w:val="0"/>
      <w:divBdr>
        <w:top w:val="none" w:sz="0" w:space="0" w:color="auto"/>
        <w:left w:val="none" w:sz="0" w:space="0" w:color="auto"/>
        <w:bottom w:val="none" w:sz="0" w:space="0" w:color="auto"/>
        <w:right w:val="none" w:sz="0" w:space="0" w:color="auto"/>
      </w:divBdr>
    </w:div>
    <w:div w:id="770901602">
      <w:bodyDiv w:val="1"/>
      <w:marLeft w:val="0"/>
      <w:marRight w:val="0"/>
      <w:marTop w:val="0"/>
      <w:marBottom w:val="0"/>
      <w:divBdr>
        <w:top w:val="none" w:sz="0" w:space="0" w:color="auto"/>
        <w:left w:val="none" w:sz="0" w:space="0" w:color="auto"/>
        <w:bottom w:val="none" w:sz="0" w:space="0" w:color="auto"/>
        <w:right w:val="none" w:sz="0" w:space="0" w:color="auto"/>
      </w:divBdr>
    </w:div>
    <w:div w:id="788009720">
      <w:bodyDiv w:val="1"/>
      <w:marLeft w:val="0"/>
      <w:marRight w:val="0"/>
      <w:marTop w:val="0"/>
      <w:marBottom w:val="0"/>
      <w:divBdr>
        <w:top w:val="none" w:sz="0" w:space="0" w:color="auto"/>
        <w:left w:val="none" w:sz="0" w:space="0" w:color="auto"/>
        <w:bottom w:val="none" w:sz="0" w:space="0" w:color="auto"/>
        <w:right w:val="none" w:sz="0" w:space="0" w:color="auto"/>
      </w:divBdr>
      <w:divsChild>
        <w:div w:id="419765074">
          <w:marLeft w:val="0"/>
          <w:marRight w:val="0"/>
          <w:marTop w:val="0"/>
          <w:marBottom w:val="0"/>
          <w:divBdr>
            <w:top w:val="none" w:sz="0" w:space="0" w:color="auto"/>
            <w:left w:val="none" w:sz="0" w:space="0" w:color="auto"/>
            <w:bottom w:val="none" w:sz="0" w:space="0" w:color="auto"/>
            <w:right w:val="none" w:sz="0" w:space="0" w:color="auto"/>
          </w:divBdr>
        </w:div>
        <w:div w:id="1228223348">
          <w:marLeft w:val="0"/>
          <w:marRight w:val="0"/>
          <w:marTop w:val="0"/>
          <w:marBottom w:val="0"/>
          <w:divBdr>
            <w:top w:val="none" w:sz="0" w:space="0" w:color="auto"/>
            <w:left w:val="none" w:sz="0" w:space="0" w:color="auto"/>
            <w:bottom w:val="none" w:sz="0" w:space="0" w:color="auto"/>
            <w:right w:val="none" w:sz="0" w:space="0" w:color="auto"/>
          </w:divBdr>
        </w:div>
        <w:div w:id="1390224343">
          <w:marLeft w:val="0"/>
          <w:marRight w:val="0"/>
          <w:marTop w:val="0"/>
          <w:marBottom w:val="0"/>
          <w:divBdr>
            <w:top w:val="none" w:sz="0" w:space="0" w:color="auto"/>
            <w:left w:val="none" w:sz="0" w:space="0" w:color="auto"/>
            <w:bottom w:val="none" w:sz="0" w:space="0" w:color="auto"/>
            <w:right w:val="none" w:sz="0" w:space="0" w:color="auto"/>
          </w:divBdr>
        </w:div>
        <w:div w:id="899243789">
          <w:marLeft w:val="0"/>
          <w:marRight w:val="0"/>
          <w:marTop w:val="0"/>
          <w:marBottom w:val="0"/>
          <w:divBdr>
            <w:top w:val="none" w:sz="0" w:space="0" w:color="auto"/>
            <w:left w:val="none" w:sz="0" w:space="0" w:color="auto"/>
            <w:bottom w:val="none" w:sz="0" w:space="0" w:color="auto"/>
            <w:right w:val="none" w:sz="0" w:space="0" w:color="auto"/>
          </w:divBdr>
        </w:div>
        <w:div w:id="325058881">
          <w:marLeft w:val="0"/>
          <w:marRight w:val="0"/>
          <w:marTop w:val="0"/>
          <w:marBottom w:val="0"/>
          <w:divBdr>
            <w:top w:val="none" w:sz="0" w:space="0" w:color="auto"/>
            <w:left w:val="none" w:sz="0" w:space="0" w:color="auto"/>
            <w:bottom w:val="none" w:sz="0" w:space="0" w:color="auto"/>
            <w:right w:val="none" w:sz="0" w:space="0" w:color="auto"/>
          </w:divBdr>
        </w:div>
      </w:divsChild>
    </w:div>
    <w:div w:id="803082754">
      <w:bodyDiv w:val="1"/>
      <w:marLeft w:val="0"/>
      <w:marRight w:val="0"/>
      <w:marTop w:val="0"/>
      <w:marBottom w:val="0"/>
      <w:divBdr>
        <w:top w:val="none" w:sz="0" w:space="0" w:color="auto"/>
        <w:left w:val="none" w:sz="0" w:space="0" w:color="auto"/>
        <w:bottom w:val="none" w:sz="0" w:space="0" w:color="auto"/>
        <w:right w:val="none" w:sz="0" w:space="0" w:color="auto"/>
      </w:divBdr>
    </w:div>
    <w:div w:id="808860112">
      <w:bodyDiv w:val="1"/>
      <w:marLeft w:val="0"/>
      <w:marRight w:val="0"/>
      <w:marTop w:val="0"/>
      <w:marBottom w:val="0"/>
      <w:divBdr>
        <w:top w:val="none" w:sz="0" w:space="0" w:color="auto"/>
        <w:left w:val="none" w:sz="0" w:space="0" w:color="auto"/>
        <w:bottom w:val="none" w:sz="0" w:space="0" w:color="auto"/>
        <w:right w:val="none" w:sz="0" w:space="0" w:color="auto"/>
      </w:divBdr>
    </w:div>
    <w:div w:id="819922528">
      <w:bodyDiv w:val="1"/>
      <w:marLeft w:val="0"/>
      <w:marRight w:val="0"/>
      <w:marTop w:val="0"/>
      <w:marBottom w:val="0"/>
      <w:divBdr>
        <w:top w:val="none" w:sz="0" w:space="0" w:color="auto"/>
        <w:left w:val="none" w:sz="0" w:space="0" w:color="auto"/>
        <w:bottom w:val="none" w:sz="0" w:space="0" w:color="auto"/>
        <w:right w:val="none" w:sz="0" w:space="0" w:color="auto"/>
      </w:divBdr>
      <w:divsChild>
        <w:div w:id="425274758">
          <w:marLeft w:val="0"/>
          <w:marRight w:val="0"/>
          <w:marTop w:val="0"/>
          <w:marBottom w:val="0"/>
          <w:divBdr>
            <w:top w:val="none" w:sz="0" w:space="0" w:color="auto"/>
            <w:left w:val="none" w:sz="0" w:space="0" w:color="auto"/>
            <w:bottom w:val="none" w:sz="0" w:space="0" w:color="auto"/>
            <w:right w:val="none" w:sz="0" w:space="0" w:color="auto"/>
          </w:divBdr>
        </w:div>
        <w:div w:id="205994918">
          <w:marLeft w:val="0"/>
          <w:marRight w:val="0"/>
          <w:marTop w:val="0"/>
          <w:marBottom w:val="0"/>
          <w:divBdr>
            <w:top w:val="none" w:sz="0" w:space="0" w:color="auto"/>
            <w:left w:val="none" w:sz="0" w:space="0" w:color="auto"/>
            <w:bottom w:val="none" w:sz="0" w:space="0" w:color="auto"/>
            <w:right w:val="none" w:sz="0" w:space="0" w:color="auto"/>
          </w:divBdr>
        </w:div>
        <w:div w:id="1741292249">
          <w:marLeft w:val="0"/>
          <w:marRight w:val="0"/>
          <w:marTop w:val="0"/>
          <w:marBottom w:val="0"/>
          <w:divBdr>
            <w:top w:val="none" w:sz="0" w:space="0" w:color="auto"/>
            <w:left w:val="none" w:sz="0" w:space="0" w:color="auto"/>
            <w:bottom w:val="none" w:sz="0" w:space="0" w:color="auto"/>
            <w:right w:val="none" w:sz="0" w:space="0" w:color="auto"/>
          </w:divBdr>
        </w:div>
        <w:div w:id="1410541834">
          <w:marLeft w:val="0"/>
          <w:marRight w:val="0"/>
          <w:marTop w:val="0"/>
          <w:marBottom w:val="0"/>
          <w:divBdr>
            <w:top w:val="none" w:sz="0" w:space="0" w:color="auto"/>
            <w:left w:val="none" w:sz="0" w:space="0" w:color="auto"/>
            <w:bottom w:val="none" w:sz="0" w:space="0" w:color="auto"/>
            <w:right w:val="none" w:sz="0" w:space="0" w:color="auto"/>
          </w:divBdr>
        </w:div>
        <w:div w:id="1794320892">
          <w:marLeft w:val="0"/>
          <w:marRight w:val="0"/>
          <w:marTop w:val="0"/>
          <w:marBottom w:val="0"/>
          <w:divBdr>
            <w:top w:val="none" w:sz="0" w:space="0" w:color="auto"/>
            <w:left w:val="none" w:sz="0" w:space="0" w:color="auto"/>
            <w:bottom w:val="none" w:sz="0" w:space="0" w:color="auto"/>
            <w:right w:val="none" w:sz="0" w:space="0" w:color="auto"/>
          </w:divBdr>
        </w:div>
      </w:divsChild>
    </w:div>
    <w:div w:id="821389274">
      <w:bodyDiv w:val="1"/>
      <w:marLeft w:val="0"/>
      <w:marRight w:val="0"/>
      <w:marTop w:val="0"/>
      <w:marBottom w:val="0"/>
      <w:divBdr>
        <w:top w:val="none" w:sz="0" w:space="0" w:color="auto"/>
        <w:left w:val="none" w:sz="0" w:space="0" w:color="auto"/>
        <w:bottom w:val="none" w:sz="0" w:space="0" w:color="auto"/>
        <w:right w:val="none" w:sz="0" w:space="0" w:color="auto"/>
      </w:divBdr>
    </w:div>
    <w:div w:id="836462137">
      <w:bodyDiv w:val="1"/>
      <w:marLeft w:val="0"/>
      <w:marRight w:val="0"/>
      <w:marTop w:val="0"/>
      <w:marBottom w:val="0"/>
      <w:divBdr>
        <w:top w:val="none" w:sz="0" w:space="0" w:color="auto"/>
        <w:left w:val="none" w:sz="0" w:space="0" w:color="auto"/>
        <w:bottom w:val="none" w:sz="0" w:space="0" w:color="auto"/>
        <w:right w:val="none" w:sz="0" w:space="0" w:color="auto"/>
      </w:divBdr>
      <w:divsChild>
        <w:div w:id="1707832482">
          <w:marLeft w:val="0"/>
          <w:marRight w:val="0"/>
          <w:marTop w:val="0"/>
          <w:marBottom w:val="0"/>
          <w:divBdr>
            <w:top w:val="none" w:sz="0" w:space="0" w:color="auto"/>
            <w:left w:val="none" w:sz="0" w:space="0" w:color="auto"/>
            <w:bottom w:val="none" w:sz="0" w:space="0" w:color="auto"/>
            <w:right w:val="none" w:sz="0" w:space="0" w:color="auto"/>
          </w:divBdr>
        </w:div>
        <w:div w:id="655646951">
          <w:marLeft w:val="0"/>
          <w:marRight w:val="0"/>
          <w:marTop w:val="0"/>
          <w:marBottom w:val="0"/>
          <w:divBdr>
            <w:top w:val="none" w:sz="0" w:space="0" w:color="auto"/>
            <w:left w:val="none" w:sz="0" w:space="0" w:color="auto"/>
            <w:bottom w:val="none" w:sz="0" w:space="0" w:color="auto"/>
            <w:right w:val="none" w:sz="0" w:space="0" w:color="auto"/>
          </w:divBdr>
        </w:div>
        <w:div w:id="656036296">
          <w:marLeft w:val="0"/>
          <w:marRight w:val="0"/>
          <w:marTop w:val="0"/>
          <w:marBottom w:val="0"/>
          <w:divBdr>
            <w:top w:val="none" w:sz="0" w:space="0" w:color="auto"/>
            <w:left w:val="none" w:sz="0" w:space="0" w:color="auto"/>
            <w:bottom w:val="none" w:sz="0" w:space="0" w:color="auto"/>
            <w:right w:val="none" w:sz="0" w:space="0" w:color="auto"/>
          </w:divBdr>
        </w:div>
        <w:div w:id="2071995238">
          <w:marLeft w:val="0"/>
          <w:marRight w:val="0"/>
          <w:marTop w:val="0"/>
          <w:marBottom w:val="0"/>
          <w:divBdr>
            <w:top w:val="none" w:sz="0" w:space="0" w:color="auto"/>
            <w:left w:val="none" w:sz="0" w:space="0" w:color="auto"/>
            <w:bottom w:val="none" w:sz="0" w:space="0" w:color="auto"/>
            <w:right w:val="none" w:sz="0" w:space="0" w:color="auto"/>
          </w:divBdr>
        </w:div>
        <w:div w:id="333655218">
          <w:marLeft w:val="0"/>
          <w:marRight w:val="0"/>
          <w:marTop w:val="0"/>
          <w:marBottom w:val="0"/>
          <w:divBdr>
            <w:top w:val="none" w:sz="0" w:space="0" w:color="auto"/>
            <w:left w:val="none" w:sz="0" w:space="0" w:color="auto"/>
            <w:bottom w:val="none" w:sz="0" w:space="0" w:color="auto"/>
            <w:right w:val="none" w:sz="0" w:space="0" w:color="auto"/>
          </w:divBdr>
        </w:div>
      </w:divsChild>
    </w:div>
    <w:div w:id="852567976">
      <w:bodyDiv w:val="1"/>
      <w:marLeft w:val="0"/>
      <w:marRight w:val="0"/>
      <w:marTop w:val="0"/>
      <w:marBottom w:val="0"/>
      <w:divBdr>
        <w:top w:val="none" w:sz="0" w:space="0" w:color="auto"/>
        <w:left w:val="none" w:sz="0" w:space="0" w:color="auto"/>
        <w:bottom w:val="none" w:sz="0" w:space="0" w:color="auto"/>
        <w:right w:val="none" w:sz="0" w:space="0" w:color="auto"/>
      </w:divBdr>
    </w:div>
    <w:div w:id="866525335">
      <w:bodyDiv w:val="1"/>
      <w:marLeft w:val="0"/>
      <w:marRight w:val="0"/>
      <w:marTop w:val="0"/>
      <w:marBottom w:val="0"/>
      <w:divBdr>
        <w:top w:val="none" w:sz="0" w:space="0" w:color="auto"/>
        <w:left w:val="none" w:sz="0" w:space="0" w:color="auto"/>
        <w:bottom w:val="none" w:sz="0" w:space="0" w:color="auto"/>
        <w:right w:val="none" w:sz="0" w:space="0" w:color="auto"/>
      </w:divBdr>
    </w:div>
    <w:div w:id="872157707">
      <w:bodyDiv w:val="1"/>
      <w:marLeft w:val="0"/>
      <w:marRight w:val="0"/>
      <w:marTop w:val="0"/>
      <w:marBottom w:val="0"/>
      <w:divBdr>
        <w:top w:val="none" w:sz="0" w:space="0" w:color="auto"/>
        <w:left w:val="none" w:sz="0" w:space="0" w:color="auto"/>
        <w:bottom w:val="none" w:sz="0" w:space="0" w:color="auto"/>
        <w:right w:val="none" w:sz="0" w:space="0" w:color="auto"/>
      </w:divBdr>
    </w:div>
    <w:div w:id="890965740">
      <w:bodyDiv w:val="1"/>
      <w:marLeft w:val="0"/>
      <w:marRight w:val="0"/>
      <w:marTop w:val="0"/>
      <w:marBottom w:val="0"/>
      <w:divBdr>
        <w:top w:val="none" w:sz="0" w:space="0" w:color="auto"/>
        <w:left w:val="none" w:sz="0" w:space="0" w:color="auto"/>
        <w:bottom w:val="none" w:sz="0" w:space="0" w:color="auto"/>
        <w:right w:val="none" w:sz="0" w:space="0" w:color="auto"/>
      </w:divBdr>
    </w:div>
    <w:div w:id="905535472">
      <w:bodyDiv w:val="1"/>
      <w:marLeft w:val="0"/>
      <w:marRight w:val="0"/>
      <w:marTop w:val="0"/>
      <w:marBottom w:val="0"/>
      <w:divBdr>
        <w:top w:val="none" w:sz="0" w:space="0" w:color="auto"/>
        <w:left w:val="none" w:sz="0" w:space="0" w:color="auto"/>
        <w:bottom w:val="none" w:sz="0" w:space="0" w:color="auto"/>
        <w:right w:val="none" w:sz="0" w:space="0" w:color="auto"/>
      </w:divBdr>
    </w:div>
    <w:div w:id="920212628">
      <w:bodyDiv w:val="1"/>
      <w:marLeft w:val="0"/>
      <w:marRight w:val="0"/>
      <w:marTop w:val="0"/>
      <w:marBottom w:val="0"/>
      <w:divBdr>
        <w:top w:val="none" w:sz="0" w:space="0" w:color="auto"/>
        <w:left w:val="none" w:sz="0" w:space="0" w:color="auto"/>
        <w:bottom w:val="none" w:sz="0" w:space="0" w:color="auto"/>
        <w:right w:val="none" w:sz="0" w:space="0" w:color="auto"/>
      </w:divBdr>
    </w:div>
    <w:div w:id="923145465">
      <w:bodyDiv w:val="1"/>
      <w:marLeft w:val="0"/>
      <w:marRight w:val="0"/>
      <w:marTop w:val="0"/>
      <w:marBottom w:val="0"/>
      <w:divBdr>
        <w:top w:val="none" w:sz="0" w:space="0" w:color="auto"/>
        <w:left w:val="none" w:sz="0" w:space="0" w:color="auto"/>
        <w:bottom w:val="none" w:sz="0" w:space="0" w:color="auto"/>
        <w:right w:val="none" w:sz="0" w:space="0" w:color="auto"/>
      </w:divBdr>
    </w:div>
    <w:div w:id="924338064">
      <w:bodyDiv w:val="1"/>
      <w:marLeft w:val="0"/>
      <w:marRight w:val="0"/>
      <w:marTop w:val="0"/>
      <w:marBottom w:val="0"/>
      <w:divBdr>
        <w:top w:val="none" w:sz="0" w:space="0" w:color="auto"/>
        <w:left w:val="none" w:sz="0" w:space="0" w:color="auto"/>
        <w:bottom w:val="none" w:sz="0" w:space="0" w:color="auto"/>
        <w:right w:val="none" w:sz="0" w:space="0" w:color="auto"/>
      </w:divBdr>
    </w:div>
    <w:div w:id="925698778">
      <w:bodyDiv w:val="1"/>
      <w:marLeft w:val="0"/>
      <w:marRight w:val="0"/>
      <w:marTop w:val="0"/>
      <w:marBottom w:val="0"/>
      <w:divBdr>
        <w:top w:val="none" w:sz="0" w:space="0" w:color="auto"/>
        <w:left w:val="none" w:sz="0" w:space="0" w:color="auto"/>
        <w:bottom w:val="none" w:sz="0" w:space="0" w:color="auto"/>
        <w:right w:val="none" w:sz="0" w:space="0" w:color="auto"/>
      </w:divBdr>
    </w:div>
    <w:div w:id="930621183">
      <w:bodyDiv w:val="1"/>
      <w:marLeft w:val="0"/>
      <w:marRight w:val="0"/>
      <w:marTop w:val="0"/>
      <w:marBottom w:val="0"/>
      <w:divBdr>
        <w:top w:val="none" w:sz="0" w:space="0" w:color="auto"/>
        <w:left w:val="none" w:sz="0" w:space="0" w:color="auto"/>
        <w:bottom w:val="none" w:sz="0" w:space="0" w:color="auto"/>
        <w:right w:val="none" w:sz="0" w:space="0" w:color="auto"/>
      </w:divBdr>
    </w:div>
    <w:div w:id="939412745">
      <w:bodyDiv w:val="1"/>
      <w:marLeft w:val="0"/>
      <w:marRight w:val="0"/>
      <w:marTop w:val="0"/>
      <w:marBottom w:val="0"/>
      <w:divBdr>
        <w:top w:val="none" w:sz="0" w:space="0" w:color="auto"/>
        <w:left w:val="none" w:sz="0" w:space="0" w:color="auto"/>
        <w:bottom w:val="none" w:sz="0" w:space="0" w:color="auto"/>
        <w:right w:val="none" w:sz="0" w:space="0" w:color="auto"/>
      </w:divBdr>
    </w:div>
    <w:div w:id="940184134">
      <w:bodyDiv w:val="1"/>
      <w:marLeft w:val="0"/>
      <w:marRight w:val="0"/>
      <w:marTop w:val="0"/>
      <w:marBottom w:val="0"/>
      <w:divBdr>
        <w:top w:val="none" w:sz="0" w:space="0" w:color="auto"/>
        <w:left w:val="none" w:sz="0" w:space="0" w:color="auto"/>
        <w:bottom w:val="none" w:sz="0" w:space="0" w:color="auto"/>
        <w:right w:val="none" w:sz="0" w:space="0" w:color="auto"/>
      </w:divBdr>
    </w:div>
    <w:div w:id="943155262">
      <w:bodyDiv w:val="1"/>
      <w:marLeft w:val="0"/>
      <w:marRight w:val="0"/>
      <w:marTop w:val="0"/>
      <w:marBottom w:val="0"/>
      <w:divBdr>
        <w:top w:val="none" w:sz="0" w:space="0" w:color="auto"/>
        <w:left w:val="none" w:sz="0" w:space="0" w:color="auto"/>
        <w:bottom w:val="none" w:sz="0" w:space="0" w:color="auto"/>
        <w:right w:val="none" w:sz="0" w:space="0" w:color="auto"/>
      </w:divBdr>
    </w:div>
    <w:div w:id="945773047">
      <w:bodyDiv w:val="1"/>
      <w:marLeft w:val="0"/>
      <w:marRight w:val="0"/>
      <w:marTop w:val="0"/>
      <w:marBottom w:val="0"/>
      <w:divBdr>
        <w:top w:val="none" w:sz="0" w:space="0" w:color="auto"/>
        <w:left w:val="none" w:sz="0" w:space="0" w:color="auto"/>
        <w:bottom w:val="none" w:sz="0" w:space="0" w:color="auto"/>
        <w:right w:val="none" w:sz="0" w:space="0" w:color="auto"/>
      </w:divBdr>
    </w:div>
    <w:div w:id="955138742">
      <w:bodyDiv w:val="1"/>
      <w:marLeft w:val="0"/>
      <w:marRight w:val="0"/>
      <w:marTop w:val="0"/>
      <w:marBottom w:val="0"/>
      <w:divBdr>
        <w:top w:val="none" w:sz="0" w:space="0" w:color="auto"/>
        <w:left w:val="none" w:sz="0" w:space="0" w:color="auto"/>
        <w:bottom w:val="none" w:sz="0" w:space="0" w:color="auto"/>
        <w:right w:val="none" w:sz="0" w:space="0" w:color="auto"/>
      </w:divBdr>
    </w:div>
    <w:div w:id="982152735">
      <w:bodyDiv w:val="1"/>
      <w:marLeft w:val="0"/>
      <w:marRight w:val="0"/>
      <w:marTop w:val="0"/>
      <w:marBottom w:val="0"/>
      <w:divBdr>
        <w:top w:val="none" w:sz="0" w:space="0" w:color="auto"/>
        <w:left w:val="none" w:sz="0" w:space="0" w:color="auto"/>
        <w:bottom w:val="none" w:sz="0" w:space="0" w:color="auto"/>
        <w:right w:val="none" w:sz="0" w:space="0" w:color="auto"/>
      </w:divBdr>
    </w:div>
    <w:div w:id="988096425">
      <w:bodyDiv w:val="1"/>
      <w:marLeft w:val="0"/>
      <w:marRight w:val="0"/>
      <w:marTop w:val="0"/>
      <w:marBottom w:val="0"/>
      <w:divBdr>
        <w:top w:val="none" w:sz="0" w:space="0" w:color="auto"/>
        <w:left w:val="none" w:sz="0" w:space="0" w:color="auto"/>
        <w:bottom w:val="none" w:sz="0" w:space="0" w:color="auto"/>
        <w:right w:val="none" w:sz="0" w:space="0" w:color="auto"/>
      </w:divBdr>
    </w:div>
    <w:div w:id="1012683120">
      <w:bodyDiv w:val="1"/>
      <w:marLeft w:val="0"/>
      <w:marRight w:val="0"/>
      <w:marTop w:val="0"/>
      <w:marBottom w:val="0"/>
      <w:divBdr>
        <w:top w:val="none" w:sz="0" w:space="0" w:color="auto"/>
        <w:left w:val="none" w:sz="0" w:space="0" w:color="auto"/>
        <w:bottom w:val="none" w:sz="0" w:space="0" w:color="auto"/>
        <w:right w:val="none" w:sz="0" w:space="0" w:color="auto"/>
      </w:divBdr>
    </w:div>
    <w:div w:id="1020739528">
      <w:bodyDiv w:val="1"/>
      <w:marLeft w:val="0"/>
      <w:marRight w:val="0"/>
      <w:marTop w:val="0"/>
      <w:marBottom w:val="0"/>
      <w:divBdr>
        <w:top w:val="none" w:sz="0" w:space="0" w:color="auto"/>
        <w:left w:val="none" w:sz="0" w:space="0" w:color="auto"/>
        <w:bottom w:val="none" w:sz="0" w:space="0" w:color="auto"/>
        <w:right w:val="none" w:sz="0" w:space="0" w:color="auto"/>
      </w:divBdr>
    </w:div>
    <w:div w:id="1027564496">
      <w:bodyDiv w:val="1"/>
      <w:marLeft w:val="0"/>
      <w:marRight w:val="0"/>
      <w:marTop w:val="0"/>
      <w:marBottom w:val="0"/>
      <w:divBdr>
        <w:top w:val="none" w:sz="0" w:space="0" w:color="auto"/>
        <w:left w:val="none" w:sz="0" w:space="0" w:color="auto"/>
        <w:bottom w:val="none" w:sz="0" w:space="0" w:color="auto"/>
        <w:right w:val="none" w:sz="0" w:space="0" w:color="auto"/>
      </w:divBdr>
    </w:div>
    <w:div w:id="1034038780">
      <w:bodyDiv w:val="1"/>
      <w:marLeft w:val="0"/>
      <w:marRight w:val="0"/>
      <w:marTop w:val="0"/>
      <w:marBottom w:val="0"/>
      <w:divBdr>
        <w:top w:val="none" w:sz="0" w:space="0" w:color="auto"/>
        <w:left w:val="none" w:sz="0" w:space="0" w:color="auto"/>
        <w:bottom w:val="none" w:sz="0" w:space="0" w:color="auto"/>
        <w:right w:val="none" w:sz="0" w:space="0" w:color="auto"/>
      </w:divBdr>
    </w:div>
    <w:div w:id="1041442493">
      <w:bodyDiv w:val="1"/>
      <w:marLeft w:val="0"/>
      <w:marRight w:val="0"/>
      <w:marTop w:val="0"/>
      <w:marBottom w:val="0"/>
      <w:divBdr>
        <w:top w:val="none" w:sz="0" w:space="0" w:color="auto"/>
        <w:left w:val="none" w:sz="0" w:space="0" w:color="auto"/>
        <w:bottom w:val="none" w:sz="0" w:space="0" w:color="auto"/>
        <w:right w:val="none" w:sz="0" w:space="0" w:color="auto"/>
      </w:divBdr>
    </w:div>
    <w:div w:id="1041781092">
      <w:bodyDiv w:val="1"/>
      <w:marLeft w:val="0"/>
      <w:marRight w:val="0"/>
      <w:marTop w:val="0"/>
      <w:marBottom w:val="0"/>
      <w:divBdr>
        <w:top w:val="none" w:sz="0" w:space="0" w:color="auto"/>
        <w:left w:val="none" w:sz="0" w:space="0" w:color="auto"/>
        <w:bottom w:val="none" w:sz="0" w:space="0" w:color="auto"/>
        <w:right w:val="none" w:sz="0" w:space="0" w:color="auto"/>
      </w:divBdr>
    </w:div>
    <w:div w:id="1054768963">
      <w:bodyDiv w:val="1"/>
      <w:marLeft w:val="0"/>
      <w:marRight w:val="0"/>
      <w:marTop w:val="0"/>
      <w:marBottom w:val="0"/>
      <w:divBdr>
        <w:top w:val="none" w:sz="0" w:space="0" w:color="auto"/>
        <w:left w:val="none" w:sz="0" w:space="0" w:color="auto"/>
        <w:bottom w:val="none" w:sz="0" w:space="0" w:color="auto"/>
        <w:right w:val="none" w:sz="0" w:space="0" w:color="auto"/>
      </w:divBdr>
    </w:div>
    <w:div w:id="1063330459">
      <w:bodyDiv w:val="1"/>
      <w:marLeft w:val="0"/>
      <w:marRight w:val="0"/>
      <w:marTop w:val="0"/>
      <w:marBottom w:val="0"/>
      <w:divBdr>
        <w:top w:val="none" w:sz="0" w:space="0" w:color="auto"/>
        <w:left w:val="none" w:sz="0" w:space="0" w:color="auto"/>
        <w:bottom w:val="none" w:sz="0" w:space="0" w:color="auto"/>
        <w:right w:val="none" w:sz="0" w:space="0" w:color="auto"/>
      </w:divBdr>
    </w:div>
    <w:div w:id="1092169548">
      <w:bodyDiv w:val="1"/>
      <w:marLeft w:val="0"/>
      <w:marRight w:val="0"/>
      <w:marTop w:val="0"/>
      <w:marBottom w:val="0"/>
      <w:divBdr>
        <w:top w:val="none" w:sz="0" w:space="0" w:color="auto"/>
        <w:left w:val="none" w:sz="0" w:space="0" w:color="auto"/>
        <w:bottom w:val="none" w:sz="0" w:space="0" w:color="auto"/>
        <w:right w:val="none" w:sz="0" w:space="0" w:color="auto"/>
      </w:divBdr>
    </w:div>
    <w:div w:id="1092779444">
      <w:bodyDiv w:val="1"/>
      <w:marLeft w:val="0"/>
      <w:marRight w:val="0"/>
      <w:marTop w:val="0"/>
      <w:marBottom w:val="0"/>
      <w:divBdr>
        <w:top w:val="none" w:sz="0" w:space="0" w:color="auto"/>
        <w:left w:val="none" w:sz="0" w:space="0" w:color="auto"/>
        <w:bottom w:val="none" w:sz="0" w:space="0" w:color="auto"/>
        <w:right w:val="none" w:sz="0" w:space="0" w:color="auto"/>
      </w:divBdr>
    </w:div>
    <w:div w:id="1093164481">
      <w:bodyDiv w:val="1"/>
      <w:marLeft w:val="0"/>
      <w:marRight w:val="0"/>
      <w:marTop w:val="0"/>
      <w:marBottom w:val="0"/>
      <w:divBdr>
        <w:top w:val="none" w:sz="0" w:space="0" w:color="auto"/>
        <w:left w:val="none" w:sz="0" w:space="0" w:color="auto"/>
        <w:bottom w:val="none" w:sz="0" w:space="0" w:color="auto"/>
        <w:right w:val="none" w:sz="0" w:space="0" w:color="auto"/>
      </w:divBdr>
    </w:div>
    <w:div w:id="1099062598">
      <w:bodyDiv w:val="1"/>
      <w:marLeft w:val="0"/>
      <w:marRight w:val="0"/>
      <w:marTop w:val="0"/>
      <w:marBottom w:val="0"/>
      <w:divBdr>
        <w:top w:val="none" w:sz="0" w:space="0" w:color="auto"/>
        <w:left w:val="none" w:sz="0" w:space="0" w:color="auto"/>
        <w:bottom w:val="none" w:sz="0" w:space="0" w:color="auto"/>
        <w:right w:val="none" w:sz="0" w:space="0" w:color="auto"/>
      </w:divBdr>
    </w:div>
    <w:div w:id="1112241708">
      <w:bodyDiv w:val="1"/>
      <w:marLeft w:val="0"/>
      <w:marRight w:val="0"/>
      <w:marTop w:val="0"/>
      <w:marBottom w:val="0"/>
      <w:divBdr>
        <w:top w:val="none" w:sz="0" w:space="0" w:color="auto"/>
        <w:left w:val="none" w:sz="0" w:space="0" w:color="auto"/>
        <w:bottom w:val="none" w:sz="0" w:space="0" w:color="auto"/>
        <w:right w:val="none" w:sz="0" w:space="0" w:color="auto"/>
      </w:divBdr>
    </w:div>
    <w:div w:id="1118797740">
      <w:bodyDiv w:val="1"/>
      <w:marLeft w:val="0"/>
      <w:marRight w:val="0"/>
      <w:marTop w:val="0"/>
      <w:marBottom w:val="0"/>
      <w:divBdr>
        <w:top w:val="none" w:sz="0" w:space="0" w:color="auto"/>
        <w:left w:val="none" w:sz="0" w:space="0" w:color="auto"/>
        <w:bottom w:val="none" w:sz="0" w:space="0" w:color="auto"/>
        <w:right w:val="none" w:sz="0" w:space="0" w:color="auto"/>
      </w:divBdr>
    </w:div>
    <w:div w:id="1120536095">
      <w:bodyDiv w:val="1"/>
      <w:marLeft w:val="0"/>
      <w:marRight w:val="0"/>
      <w:marTop w:val="0"/>
      <w:marBottom w:val="0"/>
      <w:divBdr>
        <w:top w:val="none" w:sz="0" w:space="0" w:color="auto"/>
        <w:left w:val="none" w:sz="0" w:space="0" w:color="auto"/>
        <w:bottom w:val="none" w:sz="0" w:space="0" w:color="auto"/>
        <w:right w:val="none" w:sz="0" w:space="0" w:color="auto"/>
      </w:divBdr>
    </w:div>
    <w:div w:id="1127090218">
      <w:bodyDiv w:val="1"/>
      <w:marLeft w:val="0"/>
      <w:marRight w:val="0"/>
      <w:marTop w:val="0"/>
      <w:marBottom w:val="0"/>
      <w:divBdr>
        <w:top w:val="none" w:sz="0" w:space="0" w:color="auto"/>
        <w:left w:val="none" w:sz="0" w:space="0" w:color="auto"/>
        <w:bottom w:val="none" w:sz="0" w:space="0" w:color="auto"/>
        <w:right w:val="none" w:sz="0" w:space="0" w:color="auto"/>
      </w:divBdr>
    </w:div>
    <w:div w:id="1137913062">
      <w:bodyDiv w:val="1"/>
      <w:marLeft w:val="0"/>
      <w:marRight w:val="0"/>
      <w:marTop w:val="0"/>
      <w:marBottom w:val="0"/>
      <w:divBdr>
        <w:top w:val="none" w:sz="0" w:space="0" w:color="auto"/>
        <w:left w:val="none" w:sz="0" w:space="0" w:color="auto"/>
        <w:bottom w:val="none" w:sz="0" w:space="0" w:color="auto"/>
        <w:right w:val="none" w:sz="0" w:space="0" w:color="auto"/>
      </w:divBdr>
    </w:div>
    <w:div w:id="1174490754">
      <w:bodyDiv w:val="1"/>
      <w:marLeft w:val="0"/>
      <w:marRight w:val="0"/>
      <w:marTop w:val="0"/>
      <w:marBottom w:val="0"/>
      <w:divBdr>
        <w:top w:val="none" w:sz="0" w:space="0" w:color="auto"/>
        <w:left w:val="none" w:sz="0" w:space="0" w:color="auto"/>
        <w:bottom w:val="none" w:sz="0" w:space="0" w:color="auto"/>
        <w:right w:val="none" w:sz="0" w:space="0" w:color="auto"/>
      </w:divBdr>
    </w:div>
    <w:div w:id="1189954739">
      <w:bodyDiv w:val="1"/>
      <w:marLeft w:val="0"/>
      <w:marRight w:val="0"/>
      <w:marTop w:val="0"/>
      <w:marBottom w:val="0"/>
      <w:divBdr>
        <w:top w:val="none" w:sz="0" w:space="0" w:color="auto"/>
        <w:left w:val="none" w:sz="0" w:space="0" w:color="auto"/>
        <w:bottom w:val="none" w:sz="0" w:space="0" w:color="auto"/>
        <w:right w:val="none" w:sz="0" w:space="0" w:color="auto"/>
      </w:divBdr>
    </w:div>
    <w:div w:id="1190530297">
      <w:bodyDiv w:val="1"/>
      <w:marLeft w:val="0"/>
      <w:marRight w:val="0"/>
      <w:marTop w:val="0"/>
      <w:marBottom w:val="0"/>
      <w:divBdr>
        <w:top w:val="none" w:sz="0" w:space="0" w:color="auto"/>
        <w:left w:val="none" w:sz="0" w:space="0" w:color="auto"/>
        <w:bottom w:val="none" w:sz="0" w:space="0" w:color="auto"/>
        <w:right w:val="none" w:sz="0" w:space="0" w:color="auto"/>
      </w:divBdr>
    </w:div>
    <w:div w:id="1197818360">
      <w:bodyDiv w:val="1"/>
      <w:marLeft w:val="0"/>
      <w:marRight w:val="0"/>
      <w:marTop w:val="0"/>
      <w:marBottom w:val="0"/>
      <w:divBdr>
        <w:top w:val="none" w:sz="0" w:space="0" w:color="auto"/>
        <w:left w:val="none" w:sz="0" w:space="0" w:color="auto"/>
        <w:bottom w:val="none" w:sz="0" w:space="0" w:color="auto"/>
        <w:right w:val="none" w:sz="0" w:space="0" w:color="auto"/>
      </w:divBdr>
    </w:div>
    <w:div w:id="1199931131">
      <w:bodyDiv w:val="1"/>
      <w:marLeft w:val="0"/>
      <w:marRight w:val="0"/>
      <w:marTop w:val="0"/>
      <w:marBottom w:val="0"/>
      <w:divBdr>
        <w:top w:val="none" w:sz="0" w:space="0" w:color="auto"/>
        <w:left w:val="none" w:sz="0" w:space="0" w:color="auto"/>
        <w:bottom w:val="none" w:sz="0" w:space="0" w:color="auto"/>
        <w:right w:val="none" w:sz="0" w:space="0" w:color="auto"/>
      </w:divBdr>
    </w:div>
    <w:div w:id="1202548514">
      <w:bodyDiv w:val="1"/>
      <w:marLeft w:val="0"/>
      <w:marRight w:val="0"/>
      <w:marTop w:val="0"/>
      <w:marBottom w:val="0"/>
      <w:divBdr>
        <w:top w:val="none" w:sz="0" w:space="0" w:color="auto"/>
        <w:left w:val="none" w:sz="0" w:space="0" w:color="auto"/>
        <w:bottom w:val="none" w:sz="0" w:space="0" w:color="auto"/>
        <w:right w:val="none" w:sz="0" w:space="0" w:color="auto"/>
      </w:divBdr>
      <w:divsChild>
        <w:div w:id="2019043580">
          <w:marLeft w:val="360"/>
          <w:marRight w:val="0"/>
          <w:marTop w:val="0"/>
          <w:marBottom w:val="0"/>
          <w:divBdr>
            <w:top w:val="none" w:sz="0" w:space="0" w:color="auto"/>
            <w:left w:val="none" w:sz="0" w:space="0" w:color="auto"/>
            <w:bottom w:val="none" w:sz="0" w:space="0" w:color="auto"/>
            <w:right w:val="none" w:sz="0" w:space="0" w:color="auto"/>
          </w:divBdr>
        </w:div>
        <w:div w:id="1374228263">
          <w:marLeft w:val="360"/>
          <w:marRight w:val="0"/>
          <w:marTop w:val="0"/>
          <w:marBottom w:val="0"/>
          <w:divBdr>
            <w:top w:val="none" w:sz="0" w:space="0" w:color="auto"/>
            <w:left w:val="none" w:sz="0" w:space="0" w:color="auto"/>
            <w:bottom w:val="none" w:sz="0" w:space="0" w:color="auto"/>
            <w:right w:val="none" w:sz="0" w:space="0" w:color="auto"/>
          </w:divBdr>
        </w:div>
      </w:divsChild>
    </w:div>
    <w:div w:id="1209760872">
      <w:bodyDiv w:val="1"/>
      <w:marLeft w:val="0"/>
      <w:marRight w:val="0"/>
      <w:marTop w:val="0"/>
      <w:marBottom w:val="0"/>
      <w:divBdr>
        <w:top w:val="none" w:sz="0" w:space="0" w:color="auto"/>
        <w:left w:val="none" w:sz="0" w:space="0" w:color="auto"/>
        <w:bottom w:val="none" w:sz="0" w:space="0" w:color="auto"/>
        <w:right w:val="none" w:sz="0" w:space="0" w:color="auto"/>
      </w:divBdr>
    </w:div>
    <w:div w:id="1250846367">
      <w:bodyDiv w:val="1"/>
      <w:marLeft w:val="0"/>
      <w:marRight w:val="0"/>
      <w:marTop w:val="0"/>
      <w:marBottom w:val="0"/>
      <w:divBdr>
        <w:top w:val="none" w:sz="0" w:space="0" w:color="auto"/>
        <w:left w:val="none" w:sz="0" w:space="0" w:color="auto"/>
        <w:bottom w:val="none" w:sz="0" w:space="0" w:color="auto"/>
        <w:right w:val="none" w:sz="0" w:space="0" w:color="auto"/>
      </w:divBdr>
    </w:div>
    <w:div w:id="1253203034">
      <w:bodyDiv w:val="1"/>
      <w:marLeft w:val="0"/>
      <w:marRight w:val="0"/>
      <w:marTop w:val="0"/>
      <w:marBottom w:val="0"/>
      <w:divBdr>
        <w:top w:val="none" w:sz="0" w:space="0" w:color="auto"/>
        <w:left w:val="none" w:sz="0" w:space="0" w:color="auto"/>
        <w:bottom w:val="none" w:sz="0" w:space="0" w:color="auto"/>
        <w:right w:val="none" w:sz="0" w:space="0" w:color="auto"/>
      </w:divBdr>
    </w:div>
    <w:div w:id="1262370518">
      <w:bodyDiv w:val="1"/>
      <w:marLeft w:val="0"/>
      <w:marRight w:val="0"/>
      <w:marTop w:val="0"/>
      <w:marBottom w:val="0"/>
      <w:divBdr>
        <w:top w:val="none" w:sz="0" w:space="0" w:color="auto"/>
        <w:left w:val="none" w:sz="0" w:space="0" w:color="auto"/>
        <w:bottom w:val="none" w:sz="0" w:space="0" w:color="auto"/>
        <w:right w:val="none" w:sz="0" w:space="0" w:color="auto"/>
      </w:divBdr>
    </w:div>
    <w:div w:id="1268466806">
      <w:bodyDiv w:val="1"/>
      <w:marLeft w:val="0"/>
      <w:marRight w:val="0"/>
      <w:marTop w:val="0"/>
      <w:marBottom w:val="0"/>
      <w:divBdr>
        <w:top w:val="none" w:sz="0" w:space="0" w:color="auto"/>
        <w:left w:val="none" w:sz="0" w:space="0" w:color="auto"/>
        <w:bottom w:val="none" w:sz="0" w:space="0" w:color="auto"/>
        <w:right w:val="none" w:sz="0" w:space="0" w:color="auto"/>
      </w:divBdr>
    </w:div>
    <w:div w:id="1269586995">
      <w:bodyDiv w:val="1"/>
      <w:marLeft w:val="0"/>
      <w:marRight w:val="0"/>
      <w:marTop w:val="0"/>
      <w:marBottom w:val="0"/>
      <w:divBdr>
        <w:top w:val="none" w:sz="0" w:space="0" w:color="auto"/>
        <w:left w:val="none" w:sz="0" w:space="0" w:color="auto"/>
        <w:bottom w:val="none" w:sz="0" w:space="0" w:color="auto"/>
        <w:right w:val="none" w:sz="0" w:space="0" w:color="auto"/>
      </w:divBdr>
    </w:div>
    <w:div w:id="1300187326">
      <w:bodyDiv w:val="1"/>
      <w:marLeft w:val="0"/>
      <w:marRight w:val="0"/>
      <w:marTop w:val="0"/>
      <w:marBottom w:val="0"/>
      <w:divBdr>
        <w:top w:val="none" w:sz="0" w:space="0" w:color="auto"/>
        <w:left w:val="none" w:sz="0" w:space="0" w:color="auto"/>
        <w:bottom w:val="none" w:sz="0" w:space="0" w:color="auto"/>
        <w:right w:val="none" w:sz="0" w:space="0" w:color="auto"/>
      </w:divBdr>
    </w:div>
    <w:div w:id="1316490297">
      <w:bodyDiv w:val="1"/>
      <w:marLeft w:val="0"/>
      <w:marRight w:val="0"/>
      <w:marTop w:val="0"/>
      <w:marBottom w:val="0"/>
      <w:divBdr>
        <w:top w:val="none" w:sz="0" w:space="0" w:color="auto"/>
        <w:left w:val="none" w:sz="0" w:space="0" w:color="auto"/>
        <w:bottom w:val="none" w:sz="0" w:space="0" w:color="auto"/>
        <w:right w:val="none" w:sz="0" w:space="0" w:color="auto"/>
      </w:divBdr>
    </w:div>
    <w:div w:id="1316957242">
      <w:bodyDiv w:val="1"/>
      <w:marLeft w:val="0"/>
      <w:marRight w:val="0"/>
      <w:marTop w:val="0"/>
      <w:marBottom w:val="0"/>
      <w:divBdr>
        <w:top w:val="none" w:sz="0" w:space="0" w:color="auto"/>
        <w:left w:val="none" w:sz="0" w:space="0" w:color="auto"/>
        <w:bottom w:val="none" w:sz="0" w:space="0" w:color="auto"/>
        <w:right w:val="none" w:sz="0" w:space="0" w:color="auto"/>
      </w:divBdr>
    </w:div>
    <w:div w:id="1332105969">
      <w:bodyDiv w:val="1"/>
      <w:marLeft w:val="0"/>
      <w:marRight w:val="0"/>
      <w:marTop w:val="0"/>
      <w:marBottom w:val="0"/>
      <w:divBdr>
        <w:top w:val="none" w:sz="0" w:space="0" w:color="auto"/>
        <w:left w:val="none" w:sz="0" w:space="0" w:color="auto"/>
        <w:bottom w:val="none" w:sz="0" w:space="0" w:color="auto"/>
        <w:right w:val="none" w:sz="0" w:space="0" w:color="auto"/>
      </w:divBdr>
    </w:div>
    <w:div w:id="1353649642">
      <w:bodyDiv w:val="1"/>
      <w:marLeft w:val="0"/>
      <w:marRight w:val="0"/>
      <w:marTop w:val="0"/>
      <w:marBottom w:val="0"/>
      <w:divBdr>
        <w:top w:val="none" w:sz="0" w:space="0" w:color="auto"/>
        <w:left w:val="none" w:sz="0" w:space="0" w:color="auto"/>
        <w:bottom w:val="none" w:sz="0" w:space="0" w:color="auto"/>
        <w:right w:val="none" w:sz="0" w:space="0" w:color="auto"/>
      </w:divBdr>
    </w:div>
    <w:div w:id="1362124199">
      <w:bodyDiv w:val="1"/>
      <w:marLeft w:val="0"/>
      <w:marRight w:val="0"/>
      <w:marTop w:val="0"/>
      <w:marBottom w:val="0"/>
      <w:divBdr>
        <w:top w:val="none" w:sz="0" w:space="0" w:color="auto"/>
        <w:left w:val="none" w:sz="0" w:space="0" w:color="auto"/>
        <w:bottom w:val="none" w:sz="0" w:space="0" w:color="auto"/>
        <w:right w:val="none" w:sz="0" w:space="0" w:color="auto"/>
      </w:divBdr>
    </w:div>
    <w:div w:id="1366444600">
      <w:bodyDiv w:val="1"/>
      <w:marLeft w:val="0"/>
      <w:marRight w:val="0"/>
      <w:marTop w:val="0"/>
      <w:marBottom w:val="0"/>
      <w:divBdr>
        <w:top w:val="none" w:sz="0" w:space="0" w:color="auto"/>
        <w:left w:val="none" w:sz="0" w:space="0" w:color="auto"/>
        <w:bottom w:val="none" w:sz="0" w:space="0" w:color="auto"/>
        <w:right w:val="none" w:sz="0" w:space="0" w:color="auto"/>
      </w:divBdr>
    </w:div>
    <w:div w:id="1368141560">
      <w:bodyDiv w:val="1"/>
      <w:marLeft w:val="0"/>
      <w:marRight w:val="0"/>
      <w:marTop w:val="0"/>
      <w:marBottom w:val="0"/>
      <w:divBdr>
        <w:top w:val="none" w:sz="0" w:space="0" w:color="auto"/>
        <w:left w:val="none" w:sz="0" w:space="0" w:color="auto"/>
        <w:bottom w:val="none" w:sz="0" w:space="0" w:color="auto"/>
        <w:right w:val="none" w:sz="0" w:space="0" w:color="auto"/>
      </w:divBdr>
    </w:div>
    <w:div w:id="1375034012">
      <w:bodyDiv w:val="1"/>
      <w:marLeft w:val="0"/>
      <w:marRight w:val="0"/>
      <w:marTop w:val="0"/>
      <w:marBottom w:val="0"/>
      <w:divBdr>
        <w:top w:val="none" w:sz="0" w:space="0" w:color="auto"/>
        <w:left w:val="none" w:sz="0" w:space="0" w:color="auto"/>
        <w:bottom w:val="none" w:sz="0" w:space="0" w:color="auto"/>
        <w:right w:val="none" w:sz="0" w:space="0" w:color="auto"/>
      </w:divBdr>
    </w:div>
    <w:div w:id="1387796797">
      <w:bodyDiv w:val="1"/>
      <w:marLeft w:val="0"/>
      <w:marRight w:val="0"/>
      <w:marTop w:val="0"/>
      <w:marBottom w:val="0"/>
      <w:divBdr>
        <w:top w:val="none" w:sz="0" w:space="0" w:color="auto"/>
        <w:left w:val="none" w:sz="0" w:space="0" w:color="auto"/>
        <w:bottom w:val="none" w:sz="0" w:space="0" w:color="auto"/>
        <w:right w:val="none" w:sz="0" w:space="0" w:color="auto"/>
      </w:divBdr>
    </w:div>
    <w:div w:id="1400520162">
      <w:bodyDiv w:val="1"/>
      <w:marLeft w:val="0"/>
      <w:marRight w:val="0"/>
      <w:marTop w:val="0"/>
      <w:marBottom w:val="0"/>
      <w:divBdr>
        <w:top w:val="none" w:sz="0" w:space="0" w:color="auto"/>
        <w:left w:val="none" w:sz="0" w:space="0" w:color="auto"/>
        <w:bottom w:val="none" w:sz="0" w:space="0" w:color="auto"/>
        <w:right w:val="none" w:sz="0" w:space="0" w:color="auto"/>
      </w:divBdr>
    </w:div>
    <w:div w:id="1413702454">
      <w:bodyDiv w:val="1"/>
      <w:marLeft w:val="0"/>
      <w:marRight w:val="0"/>
      <w:marTop w:val="0"/>
      <w:marBottom w:val="0"/>
      <w:divBdr>
        <w:top w:val="none" w:sz="0" w:space="0" w:color="auto"/>
        <w:left w:val="none" w:sz="0" w:space="0" w:color="auto"/>
        <w:bottom w:val="none" w:sz="0" w:space="0" w:color="auto"/>
        <w:right w:val="none" w:sz="0" w:space="0" w:color="auto"/>
      </w:divBdr>
    </w:div>
    <w:div w:id="1417165685">
      <w:bodyDiv w:val="1"/>
      <w:marLeft w:val="0"/>
      <w:marRight w:val="0"/>
      <w:marTop w:val="0"/>
      <w:marBottom w:val="0"/>
      <w:divBdr>
        <w:top w:val="none" w:sz="0" w:space="0" w:color="auto"/>
        <w:left w:val="none" w:sz="0" w:space="0" w:color="auto"/>
        <w:bottom w:val="none" w:sz="0" w:space="0" w:color="auto"/>
        <w:right w:val="none" w:sz="0" w:space="0" w:color="auto"/>
      </w:divBdr>
    </w:div>
    <w:div w:id="1434477550">
      <w:bodyDiv w:val="1"/>
      <w:marLeft w:val="0"/>
      <w:marRight w:val="0"/>
      <w:marTop w:val="0"/>
      <w:marBottom w:val="0"/>
      <w:divBdr>
        <w:top w:val="none" w:sz="0" w:space="0" w:color="auto"/>
        <w:left w:val="none" w:sz="0" w:space="0" w:color="auto"/>
        <w:bottom w:val="none" w:sz="0" w:space="0" w:color="auto"/>
        <w:right w:val="none" w:sz="0" w:space="0" w:color="auto"/>
      </w:divBdr>
    </w:div>
    <w:div w:id="1444156228">
      <w:bodyDiv w:val="1"/>
      <w:marLeft w:val="0"/>
      <w:marRight w:val="0"/>
      <w:marTop w:val="0"/>
      <w:marBottom w:val="0"/>
      <w:divBdr>
        <w:top w:val="none" w:sz="0" w:space="0" w:color="auto"/>
        <w:left w:val="none" w:sz="0" w:space="0" w:color="auto"/>
        <w:bottom w:val="none" w:sz="0" w:space="0" w:color="auto"/>
        <w:right w:val="none" w:sz="0" w:space="0" w:color="auto"/>
      </w:divBdr>
    </w:div>
    <w:div w:id="1454443473">
      <w:bodyDiv w:val="1"/>
      <w:marLeft w:val="0"/>
      <w:marRight w:val="0"/>
      <w:marTop w:val="0"/>
      <w:marBottom w:val="0"/>
      <w:divBdr>
        <w:top w:val="none" w:sz="0" w:space="0" w:color="auto"/>
        <w:left w:val="none" w:sz="0" w:space="0" w:color="auto"/>
        <w:bottom w:val="none" w:sz="0" w:space="0" w:color="auto"/>
        <w:right w:val="none" w:sz="0" w:space="0" w:color="auto"/>
      </w:divBdr>
    </w:div>
    <w:div w:id="1456173373">
      <w:bodyDiv w:val="1"/>
      <w:marLeft w:val="0"/>
      <w:marRight w:val="0"/>
      <w:marTop w:val="0"/>
      <w:marBottom w:val="0"/>
      <w:divBdr>
        <w:top w:val="none" w:sz="0" w:space="0" w:color="auto"/>
        <w:left w:val="none" w:sz="0" w:space="0" w:color="auto"/>
        <w:bottom w:val="none" w:sz="0" w:space="0" w:color="auto"/>
        <w:right w:val="none" w:sz="0" w:space="0" w:color="auto"/>
      </w:divBdr>
    </w:div>
    <w:div w:id="1458791796">
      <w:bodyDiv w:val="1"/>
      <w:marLeft w:val="0"/>
      <w:marRight w:val="0"/>
      <w:marTop w:val="0"/>
      <w:marBottom w:val="0"/>
      <w:divBdr>
        <w:top w:val="none" w:sz="0" w:space="0" w:color="auto"/>
        <w:left w:val="none" w:sz="0" w:space="0" w:color="auto"/>
        <w:bottom w:val="none" w:sz="0" w:space="0" w:color="auto"/>
        <w:right w:val="none" w:sz="0" w:space="0" w:color="auto"/>
      </w:divBdr>
    </w:div>
    <w:div w:id="1500654204">
      <w:bodyDiv w:val="1"/>
      <w:marLeft w:val="0"/>
      <w:marRight w:val="0"/>
      <w:marTop w:val="0"/>
      <w:marBottom w:val="0"/>
      <w:divBdr>
        <w:top w:val="none" w:sz="0" w:space="0" w:color="auto"/>
        <w:left w:val="none" w:sz="0" w:space="0" w:color="auto"/>
        <w:bottom w:val="none" w:sz="0" w:space="0" w:color="auto"/>
        <w:right w:val="none" w:sz="0" w:space="0" w:color="auto"/>
      </w:divBdr>
    </w:div>
    <w:div w:id="1501651449">
      <w:bodyDiv w:val="1"/>
      <w:marLeft w:val="0"/>
      <w:marRight w:val="0"/>
      <w:marTop w:val="0"/>
      <w:marBottom w:val="0"/>
      <w:divBdr>
        <w:top w:val="none" w:sz="0" w:space="0" w:color="auto"/>
        <w:left w:val="none" w:sz="0" w:space="0" w:color="auto"/>
        <w:bottom w:val="none" w:sz="0" w:space="0" w:color="auto"/>
        <w:right w:val="none" w:sz="0" w:space="0" w:color="auto"/>
      </w:divBdr>
    </w:div>
    <w:div w:id="1522624220">
      <w:bodyDiv w:val="1"/>
      <w:marLeft w:val="0"/>
      <w:marRight w:val="0"/>
      <w:marTop w:val="0"/>
      <w:marBottom w:val="0"/>
      <w:divBdr>
        <w:top w:val="none" w:sz="0" w:space="0" w:color="auto"/>
        <w:left w:val="none" w:sz="0" w:space="0" w:color="auto"/>
        <w:bottom w:val="none" w:sz="0" w:space="0" w:color="auto"/>
        <w:right w:val="none" w:sz="0" w:space="0" w:color="auto"/>
      </w:divBdr>
    </w:div>
    <w:div w:id="1542669014">
      <w:bodyDiv w:val="1"/>
      <w:marLeft w:val="0"/>
      <w:marRight w:val="0"/>
      <w:marTop w:val="0"/>
      <w:marBottom w:val="0"/>
      <w:divBdr>
        <w:top w:val="none" w:sz="0" w:space="0" w:color="auto"/>
        <w:left w:val="none" w:sz="0" w:space="0" w:color="auto"/>
        <w:bottom w:val="none" w:sz="0" w:space="0" w:color="auto"/>
        <w:right w:val="none" w:sz="0" w:space="0" w:color="auto"/>
      </w:divBdr>
    </w:div>
    <w:div w:id="1542980136">
      <w:bodyDiv w:val="1"/>
      <w:marLeft w:val="0"/>
      <w:marRight w:val="0"/>
      <w:marTop w:val="0"/>
      <w:marBottom w:val="0"/>
      <w:divBdr>
        <w:top w:val="none" w:sz="0" w:space="0" w:color="auto"/>
        <w:left w:val="none" w:sz="0" w:space="0" w:color="auto"/>
        <w:bottom w:val="none" w:sz="0" w:space="0" w:color="auto"/>
        <w:right w:val="none" w:sz="0" w:space="0" w:color="auto"/>
      </w:divBdr>
    </w:div>
    <w:div w:id="1547989949">
      <w:bodyDiv w:val="1"/>
      <w:marLeft w:val="0"/>
      <w:marRight w:val="0"/>
      <w:marTop w:val="0"/>
      <w:marBottom w:val="0"/>
      <w:divBdr>
        <w:top w:val="none" w:sz="0" w:space="0" w:color="auto"/>
        <w:left w:val="none" w:sz="0" w:space="0" w:color="auto"/>
        <w:bottom w:val="none" w:sz="0" w:space="0" w:color="auto"/>
        <w:right w:val="none" w:sz="0" w:space="0" w:color="auto"/>
      </w:divBdr>
      <w:divsChild>
        <w:div w:id="1894192526">
          <w:marLeft w:val="0"/>
          <w:marRight w:val="0"/>
          <w:marTop w:val="0"/>
          <w:marBottom w:val="0"/>
          <w:divBdr>
            <w:top w:val="none" w:sz="0" w:space="0" w:color="auto"/>
            <w:left w:val="none" w:sz="0" w:space="0" w:color="auto"/>
            <w:bottom w:val="none" w:sz="0" w:space="0" w:color="auto"/>
            <w:right w:val="none" w:sz="0" w:space="0" w:color="auto"/>
          </w:divBdr>
        </w:div>
        <w:div w:id="2076972028">
          <w:marLeft w:val="0"/>
          <w:marRight w:val="0"/>
          <w:marTop w:val="0"/>
          <w:marBottom w:val="0"/>
          <w:divBdr>
            <w:top w:val="none" w:sz="0" w:space="0" w:color="auto"/>
            <w:left w:val="none" w:sz="0" w:space="0" w:color="auto"/>
            <w:bottom w:val="none" w:sz="0" w:space="0" w:color="auto"/>
            <w:right w:val="none" w:sz="0" w:space="0" w:color="auto"/>
          </w:divBdr>
        </w:div>
        <w:div w:id="957761107">
          <w:marLeft w:val="0"/>
          <w:marRight w:val="0"/>
          <w:marTop w:val="0"/>
          <w:marBottom w:val="0"/>
          <w:divBdr>
            <w:top w:val="none" w:sz="0" w:space="0" w:color="auto"/>
            <w:left w:val="none" w:sz="0" w:space="0" w:color="auto"/>
            <w:bottom w:val="none" w:sz="0" w:space="0" w:color="auto"/>
            <w:right w:val="none" w:sz="0" w:space="0" w:color="auto"/>
          </w:divBdr>
        </w:div>
        <w:div w:id="2080715059">
          <w:marLeft w:val="0"/>
          <w:marRight w:val="0"/>
          <w:marTop w:val="0"/>
          <w:marBottom w:val="0"/>
          <w:divBdr>
            <w:top w:val="none" w:sz="0" w:space="0" w:color="auto"/>
            <w:left w:val="none" w:sz="0" w:space="0" w:color="auto"/>
            <w:bottom w:val="none" w:sz="0" w:space="0" w:color="auto"/>
            <w:right w:val="none" w:sz="0" w:space="0" w:color="auto"/>
          </w:divBdr>
        </w:div>
        <w:div w:id="2085568785">
          <w:marLeft w:val="0"/>
          <w:marRight w:val="0"/>
          <w:marTop w:val="0"/>
          <w:marBottom w:val="0"/>
          <w:divBdr>
            <w:top w:val="none" w:sz="0" w:space="0" w:color="auto"/>
            <w:left w:val="none" w:sz="0" w:space="0" w:color="auto"/>
            <w:bottom w:val="none" w:sz="0" w:space="0" w:color="auto"/>
            <w:right w:val="none" w:sz="0" w:space="0" w:color="auto"/>
          </w:divBdr>
        </w:div>
        <w:div w:id="1051151027">
          <w:marLeft w:val="0"/>
          <w:marRight w:val="0"/>
          <w:marTop w:val="0"/>
          <w:marBottom w:val="0"/>
          <w:divBdr>
            <w:top w:val="none" w:sz="0" w:space="0" w:color="auto"/>
            <w:left w:val="none" w:sz="0" w:space="0" w:color="auto"/>
            <w:bottom w:val="none" w:sz="0" w:space="0" w:color="auto"/>
            <w:right w:val="none" w:sz="0" w:space="0" w:color="auto"/>
          </w:divBdr>
        </w:div>
        <w:div w:id="1365593319">
          <w:marLeft w:val="0"/>
          <w:marRight w:val="0"/>
          <w:marTop w:val="0"/>
          <w:marBottom w:val="0"/>
          <w:divBdr>
            <w:top w:val="none" w:sz="0" w:space="0" w:color="auto"/>
            <w:left w:val="none" w:sz="0" w:space="0" w:color="auto"/>
            <w:bottom w:val="none" w:sz="0" w:space="0" w:color="auto"/>
            <w:right w:val="none" w:sz="0" w:space="0" w:color="auto"/>
          </w:divBdr>
        </w:div>
        <w:div w:id="1532063480">
          <w:marLeft w:val="0"/>
          <w:marRight w:val="0"/>
          <w:marTop w:val="0"/>
          <w:marBottom w:val="0"/>
          <w:divBdr>
            <w:top w:val="none" w:sz="0" w:space="0" w:color="auto"/>
            <w:left w:val="none" w:sz="0" w:space="0" w:color="auto"/>
            <w:bottom w:val="none" w:sz="0" w:space="0" w:color="auto"/>
            <w:right w:val="none" w:sz="0" w:space="0" w:color="auto"/>
          </w:divBdr>
        </w:div>
      </w:divsChild>
    </w:div>
    <w:div w:id="1571771201">
      <w:bodyDiv w:val="1"/>
      <w:marLeft w:val="0"/>
      <w:marRight w:val="0"/>
      <w:marTop w:val="0"/>
      <w:marBottom w:val="0"/>
      <w:divBdr>
        <w:top w:val="none" w:sz="0" w:space="0" w:color="auto"/>
        <w:left w:val="none" w:sz="0" w:space="0" w:color="auto"/>
        <w:bottom w:val="none" w:sz="0" w:space="0" w:color="auto"/>
        <w:right w:val="none" w:sz="0" w:space="0" w:color="auto"/>
      </w:divBdr>
    </w:div>
    <w:div w:id="1576553353">
      <w:bodyDiv w:val="1"/>
      <w:marLeft w:val="0"/>
      <w:marRight w:val="0"/>
      <w:marTop w:val="0"/>
      <w:marBottom w:val="0"/>
      <w:divBdr>
        <w:top w:val="none" w:sz="0" w:space="0" w:color="auto"/>
        <w:left w:val="none" w:sz="0" w:space="0" w:color="auto"/>
        <w:bottom w:val="none" w:sz="0" w:space="0" w:color="auto"/>
        <w:right w:val="none" w:sz="0" w:space="0" w:color="auto"/>
      </w:divBdr>
    </w:div>
    <w:div w:id="1610316378">
      <w:bodyDiv w:val="1"/>
      <w:marLeft w:val="0"/>
      <w:marRight w:val="0"/>
      <w:marTop w:val="0"/>
      <w:marBottom w:val="0"/>
      <w:divBdr>
        <w:top w:val="none" w:sz="0" w:space="0" w:color="auto"/>
        <w:left w:val="none" w:sz="0" w:space="0" w:color="auto"/>
        <w:bottom w:val="none" w:sz="0" w:space="0" w:color="auto"/>
        <w:right w:val="none" w:sz="0" w:space="0" w:color="auto"/>
      </w:divBdr>
    </w:div>
    <w:div w:id="1616713484">
      <w:bodyDiv w:val="1"/>
      <w:marLeft w:val="0"/>
      <w:marRight w:val="0"/>
      <w:marTop w:val="0"/>
      <w:marBottom w:val="0"/>
      <w:divBdr>
        <w:top w:val="none" w:sz="0" w:space="0" w:color="auto"/>
        <w:left w:val="none" w:sz="0" w:space="0" w:color="auto"/>
        <w:bottom w:val="none" w:sz="0" w:space="0" w:color="auto"/>
        <w:right w:val="none" w:sz="0" w:space="0" w:color="auto"/>
      </w:divBdr>
    </w:div>
    <w:div w:id="1624726030">
      <w:bodyDiv w:val="1"/>
      <w:marLeft w:val="0"/>
      <w:marRight w:val="0"/>
      <w:marTop w:val="0"/>
      <w:marBottom w:val="0"/>
      <w:divBdr>
        <w:top w:val="none" w:sz="0" w:space="0" w:color="auto"/>
        <w:left w:val="none" w:sz="0" w:space="0" w:color="auto"/>
        <w:bottom w:val="none" w:sz="0" w:space="0" w:color="auto"/>
        <w:right w:val="none" w:sz="0" w:space="0" w:color="auto"/>
      </w:divBdr>
    </w:div>
    <w:div w:id="1628001500">
      <w:bodyDiv w:val="1"/>
      <w:marLeft w:val="0"/>
      <w:marRight w:val="0"/>
      <w:marTop w:val="0"/>
      <w:marBottom w:val="0"/>
      <w:divBdr>
        <w:top w:val="none" w:sz="0" w:space="0" w:color="auto"/>
        <w:left w:val="none" w:sz="0" w:space="0" w:color="auto"/>
        <w:bottom w:val="none" w:sz="0" w:space="0" w:color="auto"/>
        <w:right w:val="none" w:sz="0" w:space="0" w:color="auto"/>
      </w:divBdr>
    </w:div>
    <w:div w:id="1631323804">
      <w:bodyDiv w:val="1"/>
      <w:marLeft w:val="0"/>
      <w:marRight w:val="0"/>
      <w:marTop w:val="0"/>
      <w:marBottom w:val="0"/>
      <w:divBdr>
        <w:top w:val="none" w:sz="0" w:space="0" w:color="auto"/>
        <w:left w:val="none" w:sz="0" w:space="0" w:color="auto"/>
        <w:bottom w:val="none" w:sz="0" w:space="0" w:color="auto"/>
        <w:right w:val="none" w:sz="0" w:space="0" w:color="auto"/>
      </w:divBdr>
    </w:div>
    <w:div w:id="1638952253">
      <w:bodyDiv w:val="1"/>
      <w:marLeft w:val="0"/>
      <w:marRight w:val="0"/>
      <w:marTop w:val="0"/>
      <w:marBottom w:val="0"/>
      <w:divBdr>
        <w:top w:val="none" w:sz="0" w:space="0" w:color="auto"/>
        <w:left w:val="none" w:sz="0" w:space="0" w:color="auto"/>
        <w:bottom w:val="none" w:sz="0" w:space="0" w:color="auto"/>
        <w:right w:val="none" w:sz="0" w:space="0" w:color="auto"/>
      </w:divBdr>
    </w:div>
    <w:div w:id="1646927425">
      <w:bodyDiv w:val="1"/>
      <w:marLeft w:val="0"/>
      <w:marRight w:val="0"/>
      <w:marTop w:val="0"/>
      <w:marBottom w:val="0"/>
      <w:divBdr>
        <w:top w:val="none" w:sz="0" w:space="0" w:color="auto"/>
        <w:left w:val="none" w:sz="0" w:space="0" w:color="auto"/>
        <w:bottom w:val="none" w:sz="0" w:space="0" w:color="auto"/>
        <w:right w:val="none" w:sz="0" w:space="0" w:color="auto"/>
      </w:divBdr>
    </w:div>
    <w:div w:id="1650817848">
      <w:bodyDiv w:val="1"/>
      <w:marLeft w:val="0"/>
      <w:marRight w:val="0"/>
      <w:marTop w:val="0"/>
      <w:marBottom w:val="0"/>
      <w:divBdr>
        <w:top w:val="none" w:sz="0" w:space="0" w:color="auto"/>
        <w:left w:val="none" w:sz="0" w:space="0" w:color="auto"/>
        <w:bottom w:val="none" w:sz="0" w:space="0" w:color="auto"/>
        <w:right w:val="none" w:sz="0" w:space="0" w:color="auto"/>
      </w:divBdr>
    </w:div>
    <w:div w:id="1673557953">
      <w:bodyDiv w:val="1"/>
      <w:marLeft w:val="0"/>
      <w:marRight w:val="0"/>
      <w:marTop w:val="0"/>
      <w:marBottom w:val="0"/>
      <w:divBdr>
        <w:top w:val="none" w:sz="0" w:space="0" w:color="auto"/>
        <w:left w:val="none" w:sz="0" w:space="0" w:color="auto"/>
        <w:bottom w:val="none" w:sz="0" w:space="0" w:color="auto"/>
        <w:right w:val="none" w:sz="0" w:space="0" w:color="auto"/>
      </w:divBdr>
    </w:div>
    <w:div w:id="1677803954">
      <w:bodyDiv w:val="1"/>
      <w:marLeft w:val="0"/>
      <w:marRight w:val="0"/>
      <w:marTop w:val="0"/>
      <w:marBottom w:val="0"/>
      <w:divBdr>
        <w:top w:val="none" w:sz="0" w:space="0" w:color="auto"/>
        <w:left w:val="none" w:sz="0" w:space="0" w:color="auto"/>
        <w:bottom w:val="none" w:sz="0" w:space="0" w:color="auto"/>
        <w:right w:val="none" w:sz="0" w:space="0" w:color="auto"/>
      </w:divBdr>
    </w:div>
    <w:div w:id="1703434278">
      <w:bodyDiv w:val="1"/>
      <w:marLeft w:val="0"/>
      <w:marRight w:val="0"/>
      <w:marTop w:val="0"/>
      <w:marBottom w:val="0"/>
      <w:divBdr>
        <w:top w:val="none" w:sz="0" w:space="0" w:color="auto"/>
        <w:left w:val="none" w:sz="0" w:space="0" w:color="auto"/>
        <w:bottom w:val="none" w:sz="0" w:space="0" w:color="auto"/>
        <w:right w:val="none" w:sz="0" w:space="0" w:color="auto"/>
      </w:divBdr>
    </w:div>
    <w:div w:id="1725063955">
      <w:bodyDiv w:val="1"/>
      <w:marLeft w:val="0"/>
      <w:marRight w:val="0"/>
      <w:marTop w:val="0"/>
      <w:marBottom w:val="0"/>
      <w:divBdr>
        <w:top w:val="none" w:sz="0" w:space="0" w:color="auto"/>
        <w:left w:val="none" w:sz="0" w:space="0" w:color="auto"/>
        <w:bottom w:val="none" w:sz="0" w:space="0" w:color="auto"/>
        <w:right w:val="none" w:sz="0" w:space="0" w:color="auto"/>
      </w:divBdr>
    </w:div>
    <w:div w:id="1743062004">
      <w:bodyDiv w:val="1"/>
      <w:marLeft w:val="0"/>
      <w:marRight w:val="0"/>
      <w:marTop w:val="0"/>
      <w:marBottom w:val="0"/>
      <w:divBdr>
        <w:top w:val="none" w:sz="0" w:space="0" w:color="auto"/>
        <w:left w:val="none" w:sz="0" w:space="0" w:color="auto"/>
        <w:bottom w:val="none" w:sz="0" w:space="0" w:color="auto"/>
        <w:right w:val="none" w:sz="0" w:space="0" w:color="auto"/>
      </w:divBdr>
    </w:div>
    <w:div w:id="1745104276">
      <w:bodyDiv w:val="1"/>
      <w:marLeft w:val="0"/>
      <w:marRight w:val="0"/>
      <w:marTop w:val="0"/>
      <w:marBottom w:val="0"/>
      <w:divBdr>
        <w:top w:val="none" w:sz="0" w:space="0" w:color="auto"/>
        <w:left w:val="none" w:sz="0" w:space="0" w:color="auto"/>
        <w:bottom w:val="none" w:sz="0" w:space="0" w:color="auto"/>
        <w:right w:val="none" w:sz="0" w:space="0" w:color="auto"/>
      </w:divBdr>
    </w:div>
    <w:div w:id="1748457931">
      <w:bodyDiv w:val="1"/>
      <w:marLeft w:val="0"/>
      <w:marRight w:val="0"/>
      <w:marTop w:val="0"/>
      <w:marBottom w:val="0"/>
      <w:divBdr>
        <w:top w:val="none" w:sz="0" w:space="0" w:color="auto"/>
        <w:left w:val="none" w:sz="0" w:space="0" w:color="auto"/>
        <w:bottom w:val="none" w:sz="0" w:space="0" w:color="auto"/>
        <w:right w:val="none" w:sz="0" w:space="0" w:color="auto"/>
      </w:divBdr>
    </w:div>
    <w:div w:id="1765420395">
      <w:bodyDiv w:val="1"/>
      <w:marLeft w:val="0"/>
      <w:marRight w:val="0"/>
      <w:marTop w:val="0"/>
      <w:marBottom w:val="0"/>
      <w:divBdr>
        <w:top w:val="none" w:sz="0" w:space="0" w:color="auto"/>
        <w:left w:val="none" w:sz="0" w:space="0" w:color="auto"/>
        <w:bottom w:val="none" w:sz="0" w:space="0" w:color="auto"/>
        <w:right w:val="none" w:sz="0" w:space="0" w:color="auto"/>
      </w:divBdr>
    </w:div>
    <w:div w:id="1771929398">
      <w:bodyDiv w:val="1"/>
      <w:marLeft w:val="0"/>
      <w:marRight w:val="0"/>
      <w:marTop w:val="0"/>
      <w:marBottom w:val="0"/>
      <w:divBdr>
        <w:top w:val="none" w:sz="0" w:space="0" w:color="auto"/>
        <w:left w:val="none" w:sz="0" w:space="0" w:color="auto"/>
        <w:bottom w:val="none" w:sz="0" w:space="0" w:color="auto"/>
        <w:right w:val="none" w:sz="0" w:space="0" w:color="auto"/>
      </w:divBdr>
    </w:div>
    <w:div w:id="1773818029">
      <w:bodyDiv w:val="1"/>
      <w:marLeft w:val="0"/>
      <w:marRight w:val="0"/>
      <w:marTop w:val="0"/>
      <w:marBottom w:val="0"/>
      <w:divBdr>
        <w:top w:val="none" w:sz="0" w:space="0" w:color="auto"/>
        <w:left w:val="none" w:sz="0" w:space="0" w:color="auto"/>
        <w:bottom w:val="none" w:sz="0" w:space="0" w:color="auto"/>
        <w:right w:val="none" w:sz="0" w:space="0" w:color="auto"/>
      </w:divBdr>
    </w:div>
    <w:div w:id="1824158097">
      <w:bodyDiv w:val="1"/>
      <w:marLeft w:val="0"/>
      <w:marRight w:val="0"/>
      <w:marTop w:val="0"/>
      <w:marBottom w:val="0"/>
      <w:divBdr>
        <w:top w:val="none" w:sz="0" w:space="0" w:color="auto"/>
        <w:left w:val="none" w:sz="0" w:space="0" w:color="auto"/>
        <w:bottom w:val="none" w:sz="0" w:space="0" w:color="auto"/>
        <w:right w:val="none" w:sz="0" w:space="0" w:color="auto"/>
      </w:divBdr>
    </w:div>
    <w:div w:id="1838836688">
      <w:bodyDiv w:val="1"/>
      <w:marLeft w:val="0"/>
      <w:marRight w:val="0"/>
      <w:marTop w:val="0"/>
      <w:marBottom w:val="0"/>
      <w:divBdr>
        <w:top w:val="none" w:sz="0" w:space="0" w:color="auto"/>
        <w:left w:val="none" w:sz="0" w:space="0" w:color="auto"/>
        <w:bottom w:val="none" w:sz="0" w:space="0" w:color="auto"/>
        <w:right w:val="none" w:sz="0" w:space="0" w:color="auto"/>
      </w:divBdr>
    </w:div>
    <w:div w:id="1842117079">
      <w:bodyDiv w:val="1"/>
      <w:marLeft w:val="0"/>
      <w:marRight w:val="0"/>
      <w:marTop w:val="0"/>
      <w:marBottom w:val="0"/>
      <w:divBdr>
        <w:top w:val="none" w:sz="0" w:space="0" w:color="auto"/>
        <w:left w:val="none" w:sz="0" w:space="0" w:color="auto"/>
        <w:bottom w:val="none" w:sz="0" w:space="0" w:color="auto"/>
        <w:right w:val="none" w:sz="0" w:space="0" w:color="auto"/>
      </w:divBdr>
    </w:div>
    <w:div w:id="1860271095">
      <w:bodyDiv w:val="1"/>
      <w:marLeft w:val="0"/>
      <w:marRight w:val="0"/>
      <w:marTop w:val="0"/>
      <w:marBottom w:val="0"/>
      <w:divBdr>
        <w:top w:val="none" w:sz="0" w:space="0" w:color="auto"/>
        <w:left w:val="none" w:sz="0" w:space="0" w:color="auto"/>
        <w:bottom w:val="none" w:sz="0" w:space="0" w:color="auto"/>
        <w:right w:val="none" w:sz="0" w:space="0" w:color="auto"/>
      </w:divBdr>
    </w:div>
    <w:div w:id="1882596203">
      <w:bodyDiv w:val="1"/>
      <w:marLeft w:val="0"/>
      <w:marRight w:val="0"/>
      <w:marTop w:val="0"/>
      <w:marBottom w:val="0"/>
      <w:divBdr>
        <w:top w:val="none" w:sz="0" w:space="0" w:color="auto"/>
        <w:left w:val="none" w:sz="0" w:space="0" w:color="auto"/>
        <w:bottom w:val="none" w:sz="0" w:space="0" w:color="auto"/>
        <w:right w:val="none" w:sz="0" w:space="0" w:color="auto"/>
      </w:divBdr>
    </w:div>
    <w:div w:id="1889487610">
      <w:bodyDiv w:val="1"/>
      <w:marLeft w:val="0"/>
      <w:marRight w:val="0"/>
      <w:marTop w:val="0"/>
      <w:marBottom w:val="0"/>
      <w:divBdr>
        <w:top w:val="none" w:sz="0" w:space="0" w:color="auto"/>
        <w:left w:val="none" w:sz="0" w:space="0" w:color="auto"/>
        <w:bottom w:val="none" w:sz="0" w:space="0" w:color="auto"/>
        <w:right w:val="none" w:sz="0" w:space="0" w:color="auto"/>
      </w:divBdr>
    </w:div>
    <w:div w:id="1899046838">
      <w:bodyDiv w:val="1"/>
      <w:marLeft w:val="0"/>
      <w:marRight w:val="0"/>
      <w:marTop w:val="0"/>
      <w:marBottom w:val="0"/>
      <w:divBdr>
        <w:top w:val="none" w:sz="0" w:space="0" w:color="auto"/>
        <w:left w:val="none" w:sz="0" w:space="0" w:color="auto"/>
        <w:bottom w:val="none" w:sz="0" w:space="0" w:color="auto"/>
        <w:right w:val="none" w:sz="0" w:space="0" w:color="auto"/>
      </w:divBdr>
    </w:div>
    <w:div w:id="1901331834">
      <w:bodyDiv w:val="1"/>
      <w:marLeft w:val="0"/>
      <w:marRight w:val="0"/>
      <w:marTop w:val="0"/>
      <w:marBottom w:val="0"/>
      <w:divBdr>
        <w:top w:val="none" w:sz="0" w:space="0" w:color="auto"/>
        <w:left w:val="none" w:sz="0" w:space="0" w:color="auto"/>
        <w:bottom w:val="none" w:sz="0" w:space="0" w:color="auto"/>
        <w:right w:val="none" w:sz="0" w:space="0" w:color="auto"/>
      </w:divBdr>
    </w:div>
    <w:div w:id="1908610035">
      <w:bodyDiv w:val="1"/>
      <w:marLeft w:val="0"/>
      <w:marRight w:val="0"/>
      <w:marTop w:val="0"/>
      <w:marBottom w:val="0"/>
      <w:divBdr>
        <w:top w:val="none" w:sz="0" w:space="0" w:color="auto"/>
        <w:left w:val="none" w:sz="0" w:space="0" w:color="auto"/>
        <w:bottom w:val="none" w:sz="0" w:space="0" w:color="auto"/>
        <w:right w:val="none" w:sz="0" w:space="0" w:color="auto"/>
      </w:divBdr>
    </w:div>
    <w:div w:id="1916282302">
      <w:bodyDiv w:val="1"/>
      <w:marLeft w:val="0"/>
      <w:marRight w:val="0"/>
      <w:marTop w:val="0"/>
      <w:marBottom w:val="0"/>
      <w:divBdr>
        <w:top w:val="none" w:sz="0" w:space="0" w:color="auto"/>
        <w:left w:val="none" w:sz="0" w:space="0" w:color="auto"/>
        <w:bottom w:val="none" w:sz="0" w:space="0" w:color="auto"/>
        <w:right w:val="none" w:sz="0" w:space="0" w:color="auto"/>
      </w:divBdr>
    </w:div>
    <w:div w:id="1932737608">
      <w:bodyDiv w:val="1"/>
      <w:marLeft w:val="0"/>
      <w:marRight w:val="0"/>
      <w:marTop w:val="0"/>
      <w:marBottom w:val="0"/>
      <w:divBdr>
        <w:top w:val="none" w:sz="0" w:space="0" w:color="auto"/>
        <w:left w:val="none" w:sz="0" w:space="0" w:color="auto"/>
        <w:bottom w:val="none" w:sz="0" w:space="0" w:color="auto"/>
        <w:right w:val="none" w:sz="0" w:space="0" w:color="auto"/>
      </w:divBdr>
    </w:div>
    <w:div w:id="1950166037">
      <w:bodyDiv w:val="1"/>
      <w:marLeft w:val="0"/>
      <w:marRight w:val="0"/>
      <w:marTop w:val="0"/>
      <w:marBottom w:val="0"/>
      <w:divBdr>
        <w:top w:val="none" w:sz="0" w:space="0" w:color="auto"/>
        <w:left w:val="none" w:sz="0" w:space="0" w:color="auto"/>
        <w:bottom w:val="none" w:sz="0" w:space="0" w:color="auto"/>
        <w:right w:val="none" w:sz="0" w:space="0" w:color="auto"/>
      </w:divBdr>
    </w:div>
    <w:div w:id="1957171090">
      <w:bodyDiv w:val="1"/>
      <w:marLeft w:val="0"/>
      <w:marRight w:val="0"/>
      <w:marTop w:val="0"/>
      <w:marBottom w:val="0"/>
      <w:divBdr>
        <w:top w:val="none" w:sz="0" w:space="0" w:color="auto"/>
        <w:left w:val="none" w:sz="0" w:space="0" w:color="auto"/>
        <w:bottom w:val="none" w:sz="0" w:space="0" w:color="auto"/>
        <w:right w:val="none" w:sz="0" w:space="0" w:color="auto"/>
      </w:divBdr>
    </w:div>
    <w:div w:id="1962489803">
      <w:bodyDiv w:val="1"/>
      <w:marLeft w:val="0"/>
      <w:marRight w:val="0"/>
      <w:marTop w:val="0"/>
      <w:marBottom w:val="0"/>
      <w:divBdr>
        <w:top w:val="none" w:sz="0" w:space="0" w:color="auto"/>
        <w:left w:val="none" w:sz="0" w:space="0" w:color="auto"/>
        <w:bottom w:val="none" w:sz="0" w:space="0" w:color="auto"/>
        <w:right w:val="none" w:sz="0" w:space="0" w:color="auto"/>
      </w:divBdr>
    </w:div>
    <w:div w:id="2002812743">
      <w:bodyDiv w:val="1"/>
      <w:marLeft w:val="0"/>
      <w:marRight w:val="0"/>
      <w:marTop w:val="0"/>
      <w:marBottom w:val="0"/>
      <w:divBdr>
        <w:top w:val="none" w:sz="0" w:space="0" w:color="auto"/>
        <w:left w:val="none" w:sz="0" w:space="0" w:color="auto"/>
        <w:bottom w:val="none" w:sz="0" w:space="0" w:color="auto"/>
        <w:right w:val="none" w:sz="0" w:space="0" w:color="auto"/>
      </w:divBdr>
    </w:div>
    <w:div w:id="2009822599">
      <w:bodyDiv w:val="1"/>
      <w:marLeft w:val="0"/>
      <w:marRight w:val="0"/>
      <w:marTop w:val="0"/>
      <w:marBottom w:val="0"/>
      <w:divBdr>
        <w:top w:val="none" w:sz="0" w:space="0" w:color="auto"/>
        <w:left w:val="none" w:sz="0" w:space="0" w:color="auto"/>
        <w:bottom w:val="none" w:sz="0" w:space="0" w:color="auto"/>
        <w:right w:val="none" w:sz="0" w:space="0" w:color="auto"/>
      </w:divBdr>
    </w:div>
    <w:div w:id="2023849636">
      <w:bodyDiv w:val="1"/>
      <w:marLeft w:val="0"/>
      <w:marRight w:val="0"/>
      <w:marTop w:val="0"/>
      <w:marBottom w:val="0"/>
      <w:divBdr>
        <w:top w:val="none" w:sz="0" w:space="0" w:color="auto"/>
        <w:left w:val="none" w:sz="0" w:space="0" w:color="auto"/>
        <w:bottom w:val="none" w:sz="0" w:space="0" w:color="auto"/>
        <w:right w:val="none" w:sz="0" w:space="0" w:color="auto"/>
      </w:divBdr>
      <w:divsChild>
        <w:div w:id="1225406506">
          <w:marLeft w:val="0"/>
          <w:marRight w:val="0"/>
          <w:marTop w:val="0"/>
          <w:marBottom w:val="0"/>
          <w:divBdr>
            <w:top w:val="none" w:sz="0" w:space="0" w:color="auto"/>
            <w:left w:val="none" w:sz="0" w:space="0" w:color="auto"/>
            <w:bottom w:val="none" w:sz="0" w:space="0" w:color="auto"/>
            <w:right w:val="none" w:sz="0" w:space="0" w:color="auto"/>
          </w:divBdr>
        </w:div>
        <w:div w:id="852650768">
          <w:marLeft w:val="0"/>
          <w:marRight w:val="0"/>
          <w:marTop w:val="0"/>
          <w:marBottom w:val="0"/>
          <w:divBdr>
            <w:top w:val="none" w:sz="0" w:space="0" w:color="auto"/>
            <w:left w:val="none" w:sz="0" w:space="0" w:color="auto"/>
            <w:bottom w:val="none" w:sz="0" w:space="0" w:color="auto"/>
            <w:right w:val="none" w:sz="0" w:space="0" w:color="auto"/>
          </w:divBdr>
        </w:div>
        <w:div w:id="2063864604">
          <w:marLeft w:val="0"/>
          <w:marRight w:val="0"/>
          <w:marTop w:val="0"/>
          <w:marBottom w:val="0"/>
          <w:divBdr>
            <w:top w:val="none" w:sz="0" w:space="0" w:color="auto"/>
            <w:left w:val="none" w:sz="0" w:space="0" w:color="auto"/>
            <w:bottom w:val="none" w:sz="0" w:space="0" w:color="auto"/>
            <w:right w:val="none" w:sz="0" w:space="0" w:color="auto"/>
          </w:divBdr>
        </w:div>
        <w:div w:id="765417798">
          <w:marLeft w:val="0"/>
          <w:marRight w:val="0"/>
          <w:marTop w:val="0"/>
          <w:marBottom w:val="0"/>
          <w:divBdr>
            <w:top w:val="none" w:sz="0" w:space="0" w:color="auto"/>
            <w:left w:val="none" w:sz="0" w:space="0" w:color="auto"/>
            <w:bottom w:val="none" w:sz="0" w:space="0" w:color="auto"/>
            <w:right w:val="none" w:sz="0" w:space="0" w:color="auto"/>
          </w:divBdr>
        </w:div>
        <w:div w:id="17052776">
          <w:marLeft w:val="0"/>
          <w:marRight w:val="0"/>
          <w:marTop w:val="0"/>
          <w:marBottom w:val="0"/>
          <w:divBdr>
            <w:top w:val="none" w:sz="0" w:space="0" w:color="auto"/>
            <w:left w:val="none" w:sz="0" w:space="0" w:color="auto"/>
            <w:bottom w:val="none" w:sz="0" w:space="0" w:color="auto"/>
            <w:right w:val="none" w:sz="0" w:space="0" w:color="auto"/>
          </w:divBdr>
        </w:div>
        <w:div w:id="246572837">
          <w:marLeft w:val="0"/>
          <w:marRight w:val="0"/>
          <w:marTop w:val="0"/>
          <w:marBottom w:val="0"/>
          <w:divBdr>
            <w:top w:val="none" w:sz="0" w:space="0" w:color="auto"/>
            <w:left w:val="none" w:sz="0" w:space="0" w:color="auto"/>
            <w:bottom w:val="none" w:sz="0" w:space="0" w:color="auto"/>
            <w:right w:val="none" w:sz="0" w:space="0" w:color="auto"/>
          </w:divBdr>
        </w:div>
        <w:div w:id="307780877">
          <w:marLeft w:val="0"/>
          <w:marRight w:val="0"/>
          <w:marTop w:val="0"/>
          <w:marBottom w:val="0"/>
          <w:divBdr>
            <w:top w:val="none" w:sz="0" w:space="0" w:color="auto"/>
            <w:left w:val="none" w:sz="0" w:space="0" w:color="auto"/>
            <w:bottom w:val="none" w:sz="0" w:space="0" w:color="auto"/>
            <w:right w:val="none" w:sz="0" w:space="0" w:color="auto"/>
          </w:divBdr>
        </w:div>
        <w:div w:id="1486160983">
          <w:marLeft w:val="0"/>
          <w:marRight w:val="0"/>
          <w:marTop w:val="0"/>
          <w:marBottom w:val="0"/>
          <w:divBdr>
            <w:top w:val="none" w:sz="0" w:space="0" w:color="auto"/>
            <w:left w:val="none" w:sz="0" w:space="0" w:color="auto"/>
            <w:bottom w:val="none" w:sz="0" w:space="0" w:color="auto"/>
            <w:right w:val="none" w:sz="0" w:space="0" w:color="auto"/>
          </w:divBdr>
        </w:div>
      </w:divsChild>
    </w:div>
    <w:div w:id="2104107934">
      <w:bodyDiv w:val="1"/>
      <w:marLeft w:val="0"/>
      <w:marRight w:val="0"/>
      <w:marTop w:val="0"/>
      <w:marBottom w:val="0"/>
      <w:divBdr>
        <w:top w:val="none" w:sz="0" w:space="0" w:color="auto"/>
        <w:left w:val="none" w:sz="0" w:space="0" w:color="auto"/>
        <w:bottom w:val="none" w:sz="0" w:space="0" w:color="auto"/>
        <w:right w:val="none" w:sz="0" w:space="0" w:color="auto"/>
      </w:divBdr>
    </w:div>
    <w:div w:id="2106075162">
      <w:bodyDiv w:val="1"/>
      <w:marLeft w:val="0"/>
      <w:marRight w:val="0"/>
      <w:marTop w:val="0"/>
      <w:marBottom w:val="0"/>
      <w:divBdr>
        <w:top w:val="none" w:sz="0" w:space="0" w:color="auto"/>
        <w:left w:val="none" w:sz="0" w:space="0" w:color="auto"/>
        <w:bottom w:val="none" w:sz="0" w:space="0" w:color="auto"/>
        <w:right w:val="none" w:sz="0" w:space="0" w:color="auto"/>
      </w:divBdr>
    </w:div>
    <w:div w:id="2106993940">
      <w:bodyDiv w:val="1"/>
      <w:marLeft w:val="0"/>
      <w:marRight w:val="0"/>
      <w:marTop w:val="0"/>
      <w:marBottom w:val="0"/>
      <w:divBdr>
        <w:top w:val="none" w:sz="0" w:space="0" w:color="auto"/>
        <w:left w:val="none" w:sz="0" w:space="0" w:color="auto"/>
        <w:bottom w:val="none" w:sz="0" w:space="0" w:color="auto"/>
        <w:right w:val="none" w:sz="0" w:space="0" w:color="auto"/>
      </w:divBdr>
    </w:div>
    <w:div w:id="2116248728">
      <w:bodyDiv w:val="1"/>
      <w:marLeft w:val="0"/>
      <w:marRight w:val="0"/>
      <w:marTop w:val="0"/>
      <w:marBottom w:val="0"/>
      <w:divBdr>
        <w:top w:val="none" w:sz="0" w:space="0" w:color="auto"/>
        <w:left w:val="none" w:sz="0" w:space="0" w:color="auto"/>
        <w:bottom w:val="none" w:sz="0" w:space="0" w:color="auto"/>
        <w:right w:val="none" w:sz="0" w:space="0" w:color="auto"/>
      </w:divBdr>
    </w:div>
    <w:div w:id="2119063818">
      <w:bodyDiv w:val="1"/>
      <w:marLeft w:val="0"/>
      <w:marRight w:val="0"/>
      <w:marTop w:val="0"/>
      <w:marBottom w:val="0"/>
      <w:divBdr>
        <w:top w:val="none" w:sz="0" w:space="0" w:color="auto"/>
        <w:left w:val="none" w:sz="0" w:space="0" w:color="auto"/>
        <w:bottom w:val="none" w:sz="0" w:space="0" w:color="auto"/>
        <w:right w:val="none" w:sz="0" w:space="0" w:color="auto"/>
      </w:divBdr>
    </w:div>
    <w:div w:id="2119174400">
      <w:bodyDiv w:val="1"/>
      <w:marLeft w:val="0"/>
      <w:marRight w:val="0"/>
      <w:marTop w:val="0"/>
      <w:marBottom w:val="0"/>
      <w:divBdr>
        <w:top w:val="none" w:sz="0" w:space="0" w:color="auto"/>
        <w:left w:val="none" w:sz="0" w:space="0" w:color="auto"/>
        <w:bottom w:val="none" w:sz="0" w:space="0" w:color="auto"/>
        <w:right w:val="none" w:sz="0" w:space="0" w:color="auto"/>
      </w:divBdr>
    </w:div>
    <w:div w:id="2120449984">
      <w:bodyDiv w:val="1"/>
      <w:marLeft w:val="0"/>
      <w:marRight w:val="0"/>
      <w:marTop w:val="0"/>
      <w:marBottom w:val="0"/>
      <w:divBdr>
        <w:top w:val="none" w:sz="0" w:space="0" w:color="auto"/>
        <w:left w:val="none" w:sz="0" w:space="0" w:color="auto"/>
        <w:bottom w:val="none" w:sz="0" w:space="0" w:color="auto"/>
        <w:right w:val="none" w:sz="0" w:space="0" w:color="auto"/>
      </w:divBdr>
    </w:div>
    <w:div w:id="2129005194">
      <w:bodyDiv w:val="1"/>
      <w:marLeft w:val="0"/>
      <w:marRight w:val="0"/>
      <w:marTop w:val="0"/>
      <w:marBottom w:val="0"/>
      <w:divBdr>
        <w:top w:val="none" w:sz="0" w:space="0" w:color="auto"/>
        <w:left w:val="none" w:sz="0" w:space="0" w:color="auto"/>
        <w:bottom w:val="none" w:sz="0" w:space="0" w:color="auto"/>
        <w:right w:val="none" w:sz="0" w:space="0" w:color="auto"/>
      </w:divBdr>
    </w:div>
    <w:div w:id="214264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fdo.org.au/wp-content/uploads/2020/04/Statement-of-Concern-COVID-19-Human-rights-disability-and-ethical-decision-making_Final.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coss.org.au/analysis/hard-lockdowns-things-to-consi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ublicadvocate.vic.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afdo.org.au/wp-content/uploads/2020/04/Statement-of-Concern-COVID-19-Human-rights-disability-and-ethical-decision-making_Final.pdf" TargetMode="External"/><Relationship Id="rId3" Type="http://schemas.openxmlformats.org/officeDocument/2006/relationships/hyperlink" Target="https://www.cota.org.au/policy/aged-care-reform/agedcarevisitors/" TargetMode="External"/><Relationship Id="rId7" Type="http://schemas.openxmlformats.org/officeDocument/2006/relationships/hyperlink" Target="https://www.ombudsman.vic.gov.au/our-impact/news/ombudsman-announces-investigation-into-treatment-of-public-housing-tenants-in-lockdown/" TargetMode="External"/><Relationship Id="rId2" Type="http://schemas.openxmlformats.org/officeDocument/2006/relationships/hyperlink" Target="https://www2.health.vic.gov.au/ageing-and-aged-care/supported-residential-services%3e%20accessed%2028%20July%202020" TargetMode="External"/><Relationship Id="rId1" Type="http://schemas.openxmlformats.org/officeDocument/2006/relationships/hyperlink" Target="https://www.publicadvocate.vic.gov.au/resources/submissions/2020-submission-on-the-impact-of-covid-19-on-the-aged-care-sector" TargetMode="External"/><Relationship Id="rId6" Type="http://schemas.openxmlformats.org/officeDocument/2006/relationships/hyperlink" Target="https://www.ndis.gov.au/coronavirus/participants-coronavirus-covid-19" TargetMode="External"/><Relationship Id="rId5" Type="http://schemas.openxmlformats.org/officeDocument/2006/relationships/hyperlink" Target="https://www.dhhs.vic.gov.au/information-community-services-coronavirus-covid-19" TargetMode="External"/><Relationship Id="rId4" Type="http://schemas.openxmlformats.org/officeDocument/2006/relationships/hyperlink" Target="http://empoweredlives.vcoss.org.au/wp-content/uploads/2020/07/Empowered-Lives-Statement-on-COVID-19-Support-for-People-with-Disability-July-2020.pdf" TargetMode="External"/><Relationship Id="rId9" Type="http://schemas.openxmlformats.org/officeDocument/2006/relationships/hyperlink" Target="https://www.ethics.va.gov/docs/policy/meeting_the_challenge_of_pan_flu_ethical_guidance_vha_2010_web_posting_201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padari\AppData\Local\Temp\notesD54A53\OPA%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EAC87FF281C24C91F63FCB0F53F003" ma:contentTypeVersion="12" ma:contentTypeDescription="Create a new document." ma:contentTypeScope="" ma:versionID="ed2b6bc15f94ceab283a180065ccd451">
  <xsd:schema xmlns:xsd="http://www.w3.org/2001/XMLSchema" xmlns:xs="http://www.w3.org/2001/XMLSchema" xmlns:p="http://schemas.microsoft.com/office/2006/metadata/properties" xmlns:ns3="30d61797-b5ac-4274-81b0-cd1d1c781a21" xmlns:ns4="9b4c5905-89bc-4d41-bed3-1a7461756f64" targetNamespace="http://schemas.microsoft.com/office/2006/metadata/properties" ma:root="true" ma:fieldsID="1fa9e70e71ccb0c68325ca752b7b7472" ns3:_="" ns4:_="">
    <xsd:import namespace="30d61797-b5ac-4274-81b0-cd1d1c781a21"/>
    <xsd:import namespace="9b4c5905-89bc-4d41-bed3-1a7461756f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61797-b5ac-4274-81b0-cd1d1c781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4c5905-89bc-4d41-bed3-1a7461756f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6139E-4FA7-48D8-A0FD-FF16A8C63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61797-b5ac-4274-81b0-cd1d1c781a21"/>
    <ds:schemaRef ds:uri="9b4c5905-89bc-4d41-bed3-1a7461756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9A6D4E-3836-4071-93E5-E0D44A81A8EC}">
  <ds:schemaRefs>
    <ds:schemaRef ds:uri="http://schemas.microsoft.com/sharepoint/v3/contenttype/forms"/>
  </ds:schemaRefs>
</ds:datastoreItem>
</file>

<file path=customXml/itemProps3.xml><?xml version="1.0" encoding="utf-8"?>
<ds:datastoreItem xmlns:ds="http://schemas.openxmlformats.org/officeDocument/2006/customXml" ds:itemID="{BCB610CE-4611-47E6-9CCC-F7943D656848}">
  <ds:schemaRefs>
    <ds:schemaRef ds:uri="http://purl.org/dc/terms/"/>
    <ds:schemaRef ds:uri="9b4c5905-89bc-4d41-bed3-1a7461756f64"/>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30d61797-b5ac-4274-81b0-cd1d1c781a21"/>
    <ds:schemaRef ds:uri="http://www.w3.org/XML/1998/namespace"/>
  </ds:schemaRefs>
</ds:datastoreItem>
</file>

<file path=customXml/itemProps4.xml><?xml version="1.0" encoding="utf-8"?>
<ds:datastoreItem xmlns:ds="http://schemas.openxmlformats.org/officeDocument/2006/customXml" ds:itemID="{E4EEE7A4-7DDA-489F-90E1-C0514EE0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OPA submission template.dotx</Template>
  <TotalTime>1</TotalTime>
  <Pages>44</Pages>
  <Words>18892</Words>
  <Characters>107685</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Victorian Department of Justice</Company>
  <LinksUpToDate>false</LinksUpToDate>
  <CharactersWithSpaces>126325</CharactersWithSpaces>
  <SharedDoc>false</SharedDoc>
  <HLinks>
    <vt:vector size="270" baseType="variant">
      <vt:variant>
        <vt:i4>5373983</vt:i4>
      </vt:variant>
      <vt:variant>
        <vt:i4>222</vt:i4>
      </vt:variant>
      <vt:variant>
        <vt:i4>0</vt:i4>
      </vt:variant>
      <vt:variant>
        <vt:i4>5</vt:i4>
      </vt:variant>
      <vt:variant>
        <vt:lpwstr>https://www.publicadvocate.vic.gov.au/media-centre/405-position-statement-promoting-the-health-of-pwd-during-covid-19</vt:lpwstr>
      </vt:variant>
      <vt:variant>
        <vt:lpwstr>ftn1</vt:lpwstr>
      </vt:variant>
      <vt:variant>
        <vt:i4>6553677</vt:i4>
      </vt:variant>
      <vt:variant>
        <vt:i4>219</vt:i4>
      </vt:variant>
      <vt:variant>
        <vt:i4>0</vt:i4>
      </vt:variant>
      <vt:variant>
        <vt:i4>5</vt:i4>
      </vt:variant>
      <vt:variant>
        <vt:lpwstr>https://www.afdo.org.au/wp-content/uploads/2020/04/Statement-of-Concern-COVID-19-Human-rights-disability-and-ethical-decision-making_Final.pdf</vt:lpwstr>
      </vt:variant>
      <vt:variant>
        <vt:lpwstr/>
      </vt:variant>
      <vt:variant>
        <vt:i4>4522071</vt:i4>
      </vt:variant>
      <vt:variant>
        <vt:i4>216</vt:i4>
      </vt:variant>
      <vt:variant>
        <vt:i4>0</vt:i4>
      </vt:variant>
      <vt:variant>
        <vt:i4>5</vt:i4>
      </vt:variant>
      <vt:variant>
        <vt:lpwstr>https://vcoss.org.au/analysis/hard-lockdowns-things-to-consider/</vt:lpwstr>
      </vt:variant>
      <vt:variant>
        <vt:lpwstr/>
      </vt:variant>
      <vt:variant>
        <vt:i4>1376318</vt:i4>
      </vt:variant>
      <vt:variant>
        <vt:i4>209</vt:i4>
      </vt:variant>
      <vt:variant>
        <vt:i4>0</vt:i4>
      </vt:variant>
      <vt:variant>
        <vt:i4>5</vt:i4>
      </vt:variant>
      <vt:variant>
        <vt:lpwstr/>
      </vt:variant>
      <vt:variant>
        <vt:lpwstr>_Toc45896648</vt:lpwstr>
      </vt:variant>
      <vt:variant>
        <vt:i4>1703998</vt:i4>
      </vt:variant>
      <vt:variant>
        <vt:i4>203</vt:i4>
      </vt:variant>
      <vt:variant>
        <vt:i4>0</vt:i4>
      </vt:variant>
      <vt:variant>
        <vt:i4>5</vt:i4>
      </vt:variant>
      <vt:variant>
        <vt:lpwstr/>
      </vt:variant>
      <vt:variant>
        <vt:lpwstr>_Toc45896647</vt:lpwstr>
      </vt:variant>
      <vt:variant>
        <vt:i4>1769534</vt:i4>
      </vt:variant>
      <vt:variant>
        <vt:i4>197</vt:i4>
      </vt:variant>
      <vt:variant>
        <vt:i4>0</vt:i4>
      </vt:variant>
      <vt:variant>
        <vt:i4>5</vt:i4>
      </vt:variant>
      <vt:variant>
        <vt:lpwstr/>
      </vt:variant>
      <vt:variant>
        <vt:lpwstr>_Toc45896646</vt:lpwstr>
      </vt:variant>
      <vt:variant>
        <vt:i4>1572926</vt:i4>
      </vt:variant>
      <vt:variant>
        <vt:i4>191</vt:i4>
      </vt:variant>
      <vt:variant>
        <vt:i4>0</vt:i4>
      </vt:variant>
      <vt:variant>
        <vt:i4>5</vt:i4>
      </vt:variant>
      <vt:variant>
        <vt:lpwstr/>
      </vt:variant>
      <vt:variant>
        <vt:lpwstr>_Toc45896645</vt:lpwstr>
      </vt:variant>
      <vt:variant>
        <vt:i4>1638462</vt:i4>
      </vt:variant>
      <vt:variant>
        <vt:i4>185</vt:i4>
      </vt:variant>
      <vt:variant>
        <vt:i4>0</vt:i4>
      </vt:variant>
      <vt:variant>
        <vt:i4>5</vt:i4>
      </vt:variant>
      <vt:variant>
        <vt:lpwstr/>
      </vt:variant>
      <vt:variant>
        <vt:lpwstr>_Toc45896644</vt:lpwstr>
      </vt:variant>
      <vt:variant>
        <vt:i4>1966142</vt:i4>
      </vt:variant>
      <vt:variant>
        <vt:i4>179</vt:i4>
      </vt:variant>
      <vt:variant>
        <vt:i4>0</vt:i4>
      </vt:variant>
      <vt:variant>
        <vt:i4>5</vt:i4>
      </vt:variant>
      <vt:variant>
        <vt:lpwstr/>
      </vt:variant>
      <vt:variant>
        <vt:lpwstr>_Toc45896643</vt:lpwstr>
      </vt:variant>
      <vt:variant>
        <vt:i4>2031678</vt:i4>
      </vt:variant>
      <vt:variant>
        <vt:i4>173</vt:i4>
      </vt:variant>
      <vt:variant>
        <vt:i4>0</vt:i4>
      </vt:variant>
      <vt:variant>
        <vt:i4>5</vt:i4>
      </vt:variant>
      <vt:variant>
        <vt:lpwstr/>
      </vt:variant>
      <vt:variant>
        <vt:lpwstr>_Toc45896642</vt:lpwstr>
      </vt:variant>
      <vt:variant>
        <vt:i4>1835070</vt:i4>
      </vt:variant>
      <vt:variant>
        <vt:i4>167</vt:i4>
      </vt:variant>
      <vt:variant>
        <vt:i4>0</vt:i4>
      </vt:variant>
      <vt:variant>
        <vt:i4>5</vt:i4>
      </vt:variant>
      <vt:variant>
        <vt:lpwstr/>
      </vt:variant>
      <vt:variant>
        <vt:lpwstr>_Toc45896641</vt:lpwstr>
      </vt:variant>
      <vt:variant>
        <vt:i4>1900606</vt:i4>
      </vt:variant>
      <vt:variant>
        <vt:i4>161</vt:i4>
      </vt:variant>
      <vt:variant>
        <vt:i4>0</vt:i4>
      </vt:variant>
      <vt:variant>
        <vt:i4>5</vt:i4>
      </vt:variant>
      <vt:variant>
        <vt:lpwstr/>
      </vt:variant>
      <vt:variant>
        <vt:lpwstr>_Toc45896640</vt:lpwstr>
      </vt:variant>
      <vt:variant>
        <vt:i4>1310777</vt:i4>
      </vt:variant>
      <vt:variant>
        <vt:i4>155</vt:i4>
      </vt:variant>
      <vt:variant>
        <vt:i4>0</vt:i4>
      </vt:variant>
      <vt:variant>
        <vt:i4>5</vt:i4>
      </vt:variant>
      <vt:variant>
        <vt:lpwstr/>
      </vt:variant>
      <vt:variant>
        <vt:lpwstr>_Toc45896639</vt:lpwstr>
      </vt:variant>
      <vt:variant>
        <vt:i4>1376313</vt:i4>
      </vt:variant>
      <vt:variant>
        <vt:i4>149</vt:i4>
      </vt:variant>
      <vt:variant>
        <vt:i4>0</vt:i4>
      </vt:variant>
      <vt:variant>
        <vt:i4>5</vt:i4>
      </vt:variant>
      <vt:variant>
        <vt:lpwstr/>
      </vt:variant>
      <vt:variant>
        <vt:lpwstr>_Toc45896638</vt:lpwstr>
      </vt:variant>
      <vt:variant>
        <vt:i4>1703993</vt:i4>
      </vt:variant>
      <vt:variant>
        <vt:i4>143</vt:i4>
      </vt:variant>
      <vt:variant>
        <vt:i4>0</vt:i4>
      </vt:variant>
      <vt:variant>
        <vt:i4>5</vt:i4>
      </vt:variant>
      <vt:variant>
        <vt:lpwstr/>
      </vt:variant>
      <vt:variant>
        <vt:lpwstr>_Toc45896637</vt:lpwstr>
      </vt:variant>
      <vt:variant>
        <vt:i4>1769529</vt:i4>
      </vt:variant>
      <vt:variant>
        <vt:i4>137</vt:i4>
      </vt:variant>
      <vt:variant>
        <vt:i4>0</vt:i4>
      </vt:variant>
      <vt:variant>
        <vt:i4>5</vt:i4>
      </vt:variant>
      <vt:variant>
        <vt:lpwstr/>
      </vt:variant>
      <vt:variant>
        <vt:lpwstr>_Toc45896636</vt:lpwstr>
      </vt:variant>
      <vt:variant>
        <vt:i4>1572921</vt:i4>
      </vt:variant>
      <vt:variant>
        <vt:i4>131</vt:i4>
      </vt:variant>
      <vt:variant>
        <vt:i4>0</vt:i4>
      </vt:variant>
      <vt:variant>
        <vt:i4>5</vt:i4>
      </vt:variant>
      <vt:variant>
        <vt:lpwstr/>
      </vt:variant>
      <vt:variant>
        <vt:lpwstr>_Toc45896635</vt:lpwstr>
      </vt:variant>
      <vt:variant>
        <vt:i4>1638457</vt:i4>
      </vt:variant>
      <vt:variant>
        <vt:i4>125</vt:i4>
      </vt:variant>
      <vt:variant>
        <vt:i4>0</vt:i4>
      </vt:variant>
      <vt:variant>
        <vt:i4>5</vt:i4>
      </vt:variant>
      <vt:variant>
        <vt:lpwstr/>
      </vt:variant>
      <vt:variant>
        <vt:lpwstr>_Toc45896634</vt:lpwstr>
      </vt:variant>
      <vt:variant>
        <vt:i4>1966137</vt:i4>
      </vt:variant>
      <vt:variant>
        <vt:i4>119</vt:i4>
      </vt:variant>
      <vt:variant>
        <vt:i4>0</vt:i4>
      </vt:variant>
      <vt:variant>
        <vt:i4>5</vt:i4>
      </vt:variant>
      <vt:variant>
        <vt:lpwstr/>
      </vt:variant>
      <vt:variant>
        <vt:lpwstr>_Toc45896633</vt:lpwstr>
      </vt:variant>
      <vt:variant>
        <vt:i4>2031673</vt:i4>
      </vt:variant>
      <vt:variant>
        <vt:i4>113</vt:i4>
      </vt:variant>
      <vt:variant>
        <vt:i4>0</vt:i4>
      </vt:variant>
      <vt:variant>
        <vt:i4>5</vt:i4>
      </vt:variant>
      <vt:variant>
        <vt:lpwstr/>
      </vt:variant>
      <vt:variant>
        <vt:lpwstr>_Toc45896632</vt:lpwstr>
      </vt:variant>
      <vt:variant>
        <vt:i4>1835065</vt:i4>
      </vt:variant>
      <vt:variant>
        <vt:i4>107</vt:i4>
      </vt:variant>
      <vt:variant>
        <vt:i4>0</vt:i4>
      </vt:variant>
      <vt:variant>
        <vt:i4>5</vt:i4>
      </vt:variant>
      <vt:variant>
        <vt:lpwstr/>
      </vt:variant>
      <vt:variant>
        <vt:lpwstr>_Toc45896631</vt:lpwstr>
      </vt:variant>
      <vt:variant>
        <vt:i4>1900601</vt:i4>
      </vt:variant>
      <vt:variant>
        <vt:i4>101</vt:i4>
      </vt:variant>
      <vt:variant>
        <vt:i4>0</vt:i4>
      </vt:variant>
      <vt:variant>
        <vt:i4>5</vt:i4>
      </vt:variant>
      <vt:variant>
        <vt:lpwstr/>
      </vt:variant>
      <vt:variant>
        <vt:lpwstr>_Toc45896630</vt:lpwstr>
      </vt:variant>
      <vt:variant>
        <vt:i4>1310776</vt:i4>
      </vt:variant>
      <vt:variant>
        <vt:i4>95</vt:i4>
      </vt:variant>
      <vt:variant>
        <vt:i4>0</vt:i4>
      </vt:variant>
      <vt:variant>
        <vt:i4>5</vt:i4>
      </vt:variant>
      <vt:variant>
        <vt:lpwstr/>
      </vt:variant>
      <vt:variant>
        <vt:lpwstr>_Toc45896629</vt:lpwstr>
      </vt:variant>
      <vt:variant>
        <vt:i4>1376312</vt:i4>
      </vt:variant>
      <vt:variant>
        <vt:i4>89</vt:i4>
      </vt:variant>
      <vt:variant>
        <vt:i4>0</vt:i4>
      </vt:variant>
      <vt:variant>
        <vt:i4>5</vt:i4>
      </vt:variant>
      <vt:variant>
        <vt:lpwstr/>
      </vt:variant>
      <vt:variant>
        <vt:lpwstr>_Toc45896628</vt:lpwstr>
      </vt:variant>
      <vt:variant>
        <vt:i4>1703992</vt:i4>
      </vt:variant>
      <vt:variant>
        <vt:i4>83</vt:i4>
      </vt:variant>
      <vt:variant>
        <vt:i4>0</vt:i4>
      </vt:variant>
      <vt:variant>
        <vt:i4>5</vt:i4>
      </vt:variant>
      <vt:variant>
        <vt:lpwstr/>
      </vt:variant>
      <vt:variant>
        <vt:lpwstr>_Toc45896627</vt:lpwstr>
      </vt:variant>
      <vt:variant>
        <vt:i4>1769528</vt:i4>
      </vt:variant>
      <vt:variant>
        <vt:i4>77</vt:i4>
      </vt:variant>
      <vt:variant>
        <vt:i4>0</vt:i4>
      </vt:variant>
      <vt:variant>
        <vt:i4>5</vt:i4>
      </vt:variant>
      <vt:variant>
        <vt:lpwstr/>
      </vt:variant>
      <vt:variant>
        <vt:lpwstr>_Toc45896626</vt:lpwstr>
      </vt:variant>
      <vt:variant>
        <vt:i4>1572920</vt:i4>
      </vt:variant>
      <vt:variant>
        <vt:i4>71</vt:i4>
      </vt:variant>
      <vt:variant>
        <vt:i4>0</vt:i4>
      </vt:variant>
      <vt:variant>
        <vt:i4>5</vt:i4>
      </vt:variant>
      <vt:variant>
        <vt:lpwstr/>
      </vt:variant>
      <vt:variant>
        <vt:lpwstr>_Toc45896625</vt:lpwstr>
      </vt:variant>
      <vt:variant>
        <vt:i4>1638456</vt:i4>
      </vt:variant>
      <vt:variant>
        <vt:i4>65</vt:i4>
      </vt:variant>
      <vt:variant>
        <vt:i4>0</vt:i4>
      </vt:variant>
      <vt:variant>
        <vt:i4>5</vt:i4>
      </vt:variant>
      <vt:variant>
        <vt:lpwstr/>
      </vt:variant>
      <vt:variant>
        <vt:lpwstr>_Toc45896624</vt:lpwstr>
      </vt:variant>
      <vt:variant>
        <vt:i4>1966136</vt:i4>
      </vt:variant>
      <vt:variant>
        <vt:i4>59</vt:i4>
      </vt:variant>
      <vt:variant>
        <vt:i4>0</vt:i4>
      </vt:variant>
      <vt:variant>
        <vt:i4>5</vt:i4>
      </vt:variant>
      <vt:variant>
        <vt:lpwstr/>
      </vt:variant>
      <vt:variant>
        <vt:lpwstr>_Toc45896623</vt:lpwstr>
      </vt:variant>
      <vt:variant>
        <vt:i4>2031672</vt:i4>
      </vt:variant>
      <vt:variant>
        <vt:i4>53</vt:i4>
      </vt:variant>
      <vt:variant>
        <vt:i4>0</vt:i4>
      </vt:variant>
      <vt:variant>
        <vt:i4>5</vt:i4>
      </vt:variant>
      <vt:variant>
        <vt:lpwstr/>
      </vt:variant>
      <vt:variant>
        <vt:lpwstr>_Toc45896622</vt:lpwstr>
      </vt:variant>
      <vt:variant>
        <vt:i4>1835064</vt:i4>
      </vt:variant>
      <vt:variant>
        <vt:i4>47</vt:i4>
      </vt:variant>
      <vt:variant>
        <vt:i4>0</vt:i4>
      </vt:variant>
      <vt:variant>
        <vt:i4>5</vt:i4>
      </vt:variant>
      <vt:variant>
        <vt:lpwstr/>
      </vt:variant>
      <vt:variant>
        <vt:lpwstr>_Toc45896621</vt:lpwstr>
      </vt:variant>
      <vt:variant>
        <vt:i4>1900600</vt:i4>
      </vt:variant>
      <vt:variant>
        <vt:i4>41</vt:i4>
      </vt:variant>
      <vt:variant>
        <vt:i4>0</vt:i4>
      </vt:variant>
      <vt:variant>
        <vt:i4>5</vt:i4>
      </vt:variant>
      <vt:variant>
        <vt:lpwstr/>
      </vt:variant>
      <vt:variant>
        <vt:lpwstr>_Toc45896620</vt:lpwstr>
      </vt:variant>
      <vt:variant>
        <vt:i4>1310779</vt:i4>
      </vt:variant>
      <vt:variant>
        <vt:i4>35</vt:i4>
      </vt:variant>
      <vt:variant>
        <vt:i4>0</vt:i4>
      </vt:variant>
      <vt:variant>
        <vt:i4>5</vt:i4>
      </vt:variant>
      <vt:variant>
        <vt:lpwstr/>
      </vt:variant>
      <vt:variant>
        <vt:lpwstr>_Toc45896619</vt:lpwstr>
      </vt:variant>
      <vt:variant>
        <vt:i4>1376315</vt:i4>
      </vt:variant>
      <vt:variant>
        <vt:i4>29</vt:i4>
      </vt:variant>
      <vt:variant>
        <vt:i4>0</vt:i4>
      </vt:variant>
      <vt:variant>
        <vt:i4>5</vt:i4>
      </vt:variant>
      <vt:variant>
        <vt:lpwstr/>
      </vt:variant>
      <vt:variant>
        <vt:lpwstr>_Toc45896618</vt:lpwstr>
      </vt:variant>
      <vt:variant>
        <vt:i4>1703995</vt:i4>
      </vt:variant>
      <vt:variant>
        <vt:i4>23</vt:i4>
      </vt:variant>
      <vt:variant>
        <vt:i4>0</vt:i4>
      </vt:variant>
      <vt:variant>
        <vt:i4>5</vt:i4>
      </vt:variant>
      <vt:variant>
        <vt:lpwstr/>
      </vt:variant>
      <vt:variant>
        <vt:lpwstr>_Toc45896617</vt:lpwstr>
      </vt:variant>
      <vt:variant>
        <vt:i4>1769531</vt:i4>
      </vt:variant>
      <vt:variant>
        <vt:i4>17</vt:i4>
      </vt:variant>
      <vt:variant>
        <vt:i4>0</vt:i4>
      </vt:variant>
      <vt:variant>
        <vt:i4>5</vt:i4>
      </vt:variant>
      <vt:variant>
        <vt:lpwstr/>
      </vt:variant>
      <vt:variant>
        <vt:lpwstr>_Toc45896616</vt:lpwstr>
      </vt:variant>
      <vt:variant>
        <vt:i4>1572923</vt:i4>
      </vt:variant>
      <vt:variant>
        <vt:i4>11</vt:i4>
      </vt:variant>
      <vt:variant>
        <vt:i4>0</vt:i4>
      </vt:variant>
      <vt:variant>
        <vt:i4>5</vt:i4>
      </vt:variant>
      <vt:variant>
        <vt:lpwstr/>
      </vt:variant>
      <vt:variant>
        <vt:lpwstr>_Toc45896615</vt:lpwstr>
      </vt:variant>
      <vt:variant>
        <vt:i4>1638459</vt:i4>
      </vt:variant>
      <vt:variant>
        <vt:i4>5</vt:i4>
      </vt:variant>
      <vt:variant>
        <vt:i4>0</vt:i4>
      </vt:variant>
      <vt:variant>
        <vt:i4>5</vt:i4>
      </vt:variant>
      <vt:variant>
        <vt:lpwstr/>
      </vt:variant>
      <vt:variant>
        <vt:lpwstr>_Toc45896614</vt:lpwstr>
      </vt:variant>
      <vt:variant>
        <vt:i4>852032</vt:i4>
      </vt:variant>
      <vt:variant>
        <vt:i4>0</vt:i4>
      </vt:variant>
      <vt:variant>
        <vt:i4>0</vt:i4>
      </vt:variant>
      <vt:variant>
        <vt:i4>5</vt:i4>
      </vt:variant>
      <vt:variant>
        <vt:lpwstr>http://www.publicadvocate.vic.gov.au/</vt:lpwstr>
      </vt:variant>
      <vt:variant>
        <vt:lpwstr/>
      </vt:variant>
      <vt:variant>
        <vt:i4>6291577</vt:i4>
      </vt:variant>
      <vt:variant>
        <vt:i4>15</vt:i4>
      </vt:variant>
      <vt:variant>
        <vt:i4>0</vt:i4>
      </vt:variant>
      <vt:variant>
        <vt:i4>5</vt:i4>
      </vt:variant>
      <vt:variant>
        <vt:lpwstr>https://www.ethics.va.gov/docs/policy/meeting_the_challenge_of_pan_flu_ethical_guidance_vha_2010_web_posting_2013.pdf</vt:lpwstr>
      </vt:variant>
      <vt:variant>
        <vt:lpwstr/>
      </vt:variant>
      <vt:variant>
        <vt:i4>6553677</vt:i4>
      </vt:variant>
      <vt:variant>
        <vt:i4>12</vt:i4>
      </vt:variant>
      <vt:variant>
        <vt:i4>0</vt:i4>
      </vt:variant>
      <vt:variant>
        <vt:i4>5</vt:i4>
      </vt:variant>
      <vt:variant>
        <vt:lpwstr>https://www.afdo.org.au/wp-content/uploads/2020/04/Statement-of-Concern-COVID-19-Human-rights-disability-and-ethical-decision-making_Final.pdf</vt:lpwstr>
      </vt:variant>
      <vt:variant>
        <vt:lpwstr/>
      </vt:variant>
      <vt:variant>
        <vt:i4>4194368</vt:i4>
      </vt:variant>
      <vt:variant>
        <vt:i4>9</vt:i4>
      </vt:variant>
      <vt:variant>
        <vt:i4>0</vt:i4>
      </vt:variant>
      <vt:variant>
        <vt:i4>5</vt:i4>
      </vt:variant>
      <vt:variant>
        <vt:lpwstr>https://www.ombudsman.vic.gov.au/our-impact/news/ombudsman-announces-investigation-into-treatment-of-public-housing-tenants-in-lockdown/</vt:lpwstr>
      </vt:variant>
      <vt:variant>
        <vt:lpwstr/>
      </vt:variant>
      <vt:variant>
        <vt:i4>7143456</vt:i4>
      </vt:variant>
      <vt:variant>
        <vt:i4>6</vt:i4>
      </vt:variant>
      <vt:variant>
        <vt:i4>0</vt:i4>
      </vt:variant>
      <vt:variant>
        <vt:i4>5</vt:i4>
      </vt:variant>
      <vt:variant>
        <vt:lpwstr>https://www.dhhs.vic.gov.au/information-community-services-coronavirus-covid-19</vt:lpwstr>
      </vt:variant>
      <vt:variant>
        <vt:lpwstr>centre-based-disability-servicesnbsp</vt:lpwstr>
      </vt:variant>
      <vt:variant>
        <vt:i4>524367</vt:i4>
      </vt:variant>
      <vt:variant>
        <vt:i4>3</vt:i4>
      </vt:variant>
      <vt:variant>
        <vt:i4>0</vt:i4>
      </vt:variant>
      <vt:variant>
        <vt:i4>5</vt:i4>
      </vt:variant>
      <vt:variant>
        <vt:lpwstr>http://empoweredlives.vcoss.org.au/wp-content/uploads/2020/07/Empowered-Lives-Statement-on-COVID-19-Support-for-People-with-Disability-July-2020.pdf</vt:lpwstr>
      </vt:variant>
      <vt:variant>
        <vt:lpwstr/>
      </vt:variant>
      <vt:variant>
        <vt:i4>78</vt:i4>
      </vt:variant>
      <vt:variant>
        <vt:i4>0</vt:i4>
      </vt:variant>
      <vt:variant>
        <vt:i4>0</vt:i4>
      </vt:variant>
      <vt:variant>
        <vt:i4>5</vt:i4>
      </vt:variant>
      <vt:variant>
        <vt:lpwstr>https://www.cota.org.au/policy/aged-care-reform/agedcarevisitors/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Tess McCarthy (DJCS)</dc:creator>
  <cp:lastModifiedBy>Tess McCarthy (DJCS)</cp:lastModifiedBy>
  <cp:revision>2</cp:revision>
  <cp:lastPrinted>2020-07-31T01:14:00Z</cp:lastPrinted>
  <dcterms:created xsi:type="dcterms:W3CDTF">2020-09-23T10:53:00Z</dcterms:created>
  <dcterms:modified xsi:type="dcterms:W3CDTF">2020-09-23T10:53:00Z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0x010100BCEAC87FF281C24C91F63FCB0F53F003</vt:lpwstr>
  </property>
</Properties>
</file>