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36226" w14:textId="77777777" w:rsidR="00B66E62" w:rsidRDefault="00B66E62" w:rsidP="003F484A">
      <w:pPr>
        <w:pStyle w:val="Heading1"/>
        <w:ind w:right="-330"/>
      </w:pPr>
    </w:p>
    <w:p w14:paraId="6ECDC68A" w14:textId="77777777" w:rsidR="00DD4E92" w:rsidRDefault="00DD4E92" w:rsidP="00DD4E92"/>
    <w:p w14:paraId="1B35FD93" w14:textId="77777777" w:rsidR="00DD4E92" w:rsidRPr="00DD4E92" w:rsidRDefault="00DD4E92" w:rsidP="00DD4E92"/>
    <w:p w14:paraId="06975D4C" w14:textId="77777777" w:rsidR="00096653" w:rsidRPr="00273124" w:rsidRDefault="00096653" w:rsidP="00096653">
      <w:pPr>
        <w:rPr>
          <w:color w:val="156082" w:themeColor="accent1"/>
          <w:sz w:val="28"/>
        </w:rPr>
      </w:pPr>
      <w:r>
        <w:tab/>
      </w:r>
      <w:r w:rsidRPr="00273124">
        <w:rPr>
          <w:color w:val="156082" w:themeColor="accent1"/>
          <w:sz w:val="28"/>
        </w:rPr>
        <w:t>Safeguarding the rights and interests of people with disability</w:t>
      </w:r>
    </w:p>
    <w:p w14:paraId="2FB70964" w14:textId="77E2D5D1" w:rsidR="007016A0" w:rsidRDefault="007016A0" w:rsidP="00096653">
      <w:pPr>
        <w:pStyle w:val="Title"/>
        <w:tabs>
          <w:tab w:val="left" w:pos="1200"/>
        </w:tabs>
        <w:ind w:right="-330"/>
      </w:pPr>
    </w:p>
    <w:p w14:paraId="62413578" w14:textId="77777777" w:rsidR="007016A0" w:rsidRDefault="007016A0" w:rsidP="003F484A">
      <w:pPr>
        <w:pStyle w:val="Title"/>
        <w:ind w:right="-330"/>
      </w:pPr>
    </w:p>
    <w:p w14:paraId="72335741" w14:textId="77777777" w:rsidR="00CC3FD2" w:rsidRDefault="00CC3FD2" w:rsidP="00B70869">
      <w:pPr>
        <w:pStyle w:val="Title"/>
        <w:ind w:right="-755"/>
        <w:rPr>
          <w:rFonts w:ascii="Arial" w:hAnsi="Arial" w:cs="Arial"/>
          <w:b/>
          <w:bCs/>
        </w:rPr>
      </w:pPr>
    </w:p>
    <w:p w14:paraId="4D9C94F2" w14:textId="77777777" w:rsidR="00CC3FD2" w:rsidRDefault="00CC3FD2" w:rsidP="00B70869">
      <w:pPr>
        <w:pStyle w:val="Title"/>
        <w:ind w:right="-755"/>
        <w:rPr>
          <w:rFonts w:ascii="Arial" w:hAnsi="Arial" w:cs="Arial"/>
          <w:b/>
          <w:bCs/>
        </w:rPr>
      </w:pPr>
    </w:p>
    <w:p w14:paraId="22FE6BEA" w14:textId="72C1FB1E" w:rsidR="00806433" w:rsidRDefault="00C12B54" w:rsidP="00B70869">
      <w:pPr>
        <w:pStyle w:val="Title"/>
        <w:ind w:right="-755"/>
        <w:rPr>
          <w:rFonts w:ascii="Arial" w:hAnsi="Arial" w:cs="Arial"/>
        </w:rPr>
      </w:pPr>
      <w:r w:rsidRPr="00C12B54">
        <w:rPr>
          <w:rFonts w:ascii="Arial" w:hAnsi="Arial" w:cs="Arial"/>
          <w:b/>
          <w:bCs/>
        </w:rPr>
        <w:t>Multiple appointments</w:t>
      </w:r>
    </w:p>
    <w:p w14:paraId="02988561" w14:textId="77777777" w:rsidR="004809B0" w:rsidRDefault="004809B0" w:rsidP="003F484A">
      <w:pPr>
        <w:pStyle w:val="Title"/>
        <w:ind w:right="-330"/>
        <w:rPr>
          <w:rFonts w:ascii="Arial" w:hAnsi="Arial" w:cs="Arial"/>
          <w:sz w:val="32"/>
          <w:szCs w:val="32"/>
        </w:rPr>
      </w:pPr>
    </w:p>
    <w:p w14:paraId="1BA2BB0E" w14:textId="1D08A29C" w:rsidR="00C12B54" w:rsidRPr="00C12B54" w:rsidRDefault="0008164B" w:rsidP="00337FBD">
      <w:pPr>
        <w:pStyle w:val="Subtitle"/>
      </w:pPr>
      <w:r>
        <w:t xml:space="preserve">What is known </w:t>
      </w:r>
      <w:r w:rsidR="006A6D14">
        <w:t xml:space="preserve">about </w:t>
      </w:r>
      <w:r w:rsidR="00C12B54" w:rsidRPr="52D60A89">
        <w:t xml:space="preserve">the people </w:t>
      </w:r>
      <w:r w:rsidR="00B342F1">
        <w:t xml:space="preserve">that </w:t>
      </w:r>
      <w:r w:rsidR="00C12B54" w:rsidRPr="52D60A89">
        <w:t>remain subject to guardianship for years at a time?</w:t>
      </w:r>
    </w:p>
    <w:p w14:paraId="3BA51CB4" w14:textId="77777777" w:rsidR="009A4CF9" w:rsidRPr="00AB1C96" w:rsidRDefault="009A4CF9" w:rsidP="003F484A">
      <w:pPr>
        <w:ind w:right="-330"/>
        <w:rPr>
          <w:rFonts w:cs="Arial"/>
        </w:rPr>
      </w:pPr>
    </w:p>
    <w:p w14:paraId="08B280CD" w14:textId="11EBE47D" w:rsidR="00A11B3F" w:rsidRPr="00017BE6" w:rsidRDefault="00A11B3F" w:rsidP="003F484A">
      <w:pPr>
        <w:pStyle w:val="Title"/>
        <w:ind w:right="-330"/>
        <w:rPr>
          <w:rFonts w:ascii="Arial" w:hAnsi="Arial" w:cs="Arial"/>
          <w:sz w:val="32"/>
          <w:szCs w:val="32"/>
        </w:rPr>
      </w:pPr>
    </w:p>
    <w:p w14:paraId="0EECF3C5" w14:textId="77777777" w:rsidR="006F3A11" w:rsidRPr="00286364" w:rsidRDefault="006F3A11" w:rsidP="00B342F1">
      <w:pPr>
        <w:pStyle w:val="Title"/>
        <w:pBdr>
          <w:bottom w:val="single" w:sz="4" w:space="27" w:color="auto"/>
        </w:pBdr>
        <w:ind w:left="-567" w:right="-897"/>
        <w:rPr>
          <w:rFonts w:ascii="Arial" w:hAnsi="Arial" w:cs="Arial"/>
        </w:rPr>
      </w:pPr>
    </w:p>
    <w:p w14:paraId="2FC94878" w14:textId="77777777" w:rsidR="007B261A" w:rsidRPr="00017BE6" w:rsidRDefault="007B261A" w:rsidP="003F484A">
      <w:pPr>
        <w:pStyle w:val="Title"/>
        <w:ind w:right="-330"/>
        <w:rPr>
          <w:rFonts w:ascii="Arial" w:hAnsi="Arial" w:cs="Arial"/>
        </w:rPr>
      </w:pPr>
    </w:p>
    <w:p w14:paraId="6D36CAFE" w14:textId="6AE26900" w:rsidR="00B66E62" w:rsidRPr="00017BE6" w:rsidRDefault="003F2497" w:rsidP="003F484A">
      <w:pPr>
        <w:pStyle w:val="Title"/>
        <w:ind w:right="-330"/>
        <w:rPr>
          <w:rFonts w:ascii="Arial" w:hAnsi="Arial" w:cs="Arial"/>
          <w:sz w:val="32"/>
          <w:szCs w:val="32"/>
        </w:rPr>
      </w:pPr>
      <w:r>
        <w:rPr>
          <w:rFonts w:ascii="Arial" w:hAnsi="Arial" w:cs="Arial"/>
          <w:sz w:val="32"/>
          <w:szCs w:val="32"/>
        </w:rPr>
        <w:t>June</w:t>
      </w:r>
      <w:r w:rsidRPr="00017BE6">
        <w:rPr>
          <w:rFonts w:ascii="Arial" w:hAnsi="Arial" w:cs="Arial"/>
          <w:sz w:val="32"/>
          <w:szCs w:val="32"/>
        </w:rPr>
        <w:t xml:space="preserve"> </w:t>
      </w:r>
      <w:r w:rsidR="00B66E62" w:rsidRPr="00017BE6">
        <w:rPr>
          <w:rFonts w:ascii="Arial" w:hAnsi="Arial" w:cs="Arial"/>
          <w:sz w:val="32"/>
          <w:szCs w:val="32"/>
        </w:rPr>
        <w:t>202</w:t>
      </w:r>
      <w:r w:rsidR="00C12B54">
        <w:rPr>
          <w:rFonts w:ascii="Arial" w:hAnsi="Arial" w:cs="Arial"/>
          <w:sz w:val="32"/>
          <w:szCs w:val="32"/>
        </w:rPr>
        <w:t>5</w:t>
      </w:r>
    </w:p>
    <w:p w14:paraId="6BA34881" w14:textId="77777777" w:rsidR="00A11B3F" w:rsidRPr="00017BE6" w:rsidRDefault="00A11B3F" w:rsidP="003F484A">
      <w:pPr>
        <w:ind w:right="-330"/>
      </w:pPr>
    </w:p>
    <w:p w14:paraId="0608ADD4" w14:textId="77777777" w:rsidR="00A11B3F" w:rsidRDefault="00A11B3F" w:rsidP="003F484A">
      <w:pPr>
        <w:ind w:right="-330"/>
      </w:pPr>
    </w:p>
    <w:p w14:paraId="7549B84A" w14:textId="77777777" w:rsidR="006000D8" w:rsidRDefault="006000D8" w:rsidP="003F484A">
      <w:pPr>
        <w:ind w:right="-330"/>
        <w:jc w:val="center"/>
      </w:pPr>
    </w:p>
    <w:p w14:paraId="53444188" w14:textId="77777777" w:rsidR="006000D8" w:rsidRDefault="006000D8" w:rsidP="003F484A">
      <w:pPr>
        <w:ind w:right="-330"/>
        <w:jc w:val="center"/>
      </w:pPr>
    </w:p>
    <w:p w14:paraId="5613B404" w14:textId="77777777" w:rsidR="00CC3FD2" w:rsidRDefault="00CC3FD2" w:rsidP="00C12B54">
      <w:pPr>
        <w:ind w:right="-330"/>
      </w:pPr>
    </w:p>
    <w:p w14:paraId="6597B692" w14:textId="77777777" w:rsidR="00B342F1" w:rsidRDefault="00B342F1" w:rsidP="006000D8">
      <w:pPr>
        <w:ind w:right="-330"/>
        <w:rPr>
          <w:b/>
          <w:bCs/>
          <w:sz w:val="17"/>
          <w:szCs w:val="17"/>
        </w:rPr>
      </w:pPr>
    </w:p>
    <w:p w14:paraId="684AF1DA" w14:textId="44D2C9E2" w:rsidR="00AD275C" w:rsidRDefault="006000D8" w:rsidP="006000D8">
      <w:pPr>
        <w:ind w:right="-330"/>
        <w:rPr>
          <w:b/>
          <w:bCs/>
          <w:sz w:val="17"/>
          <w:szCs w:val="17"/>
        </w:rPr>
      </w:pPr>
      <w:r w:rsidRPr="004F5A37">
        <w:rPr>
          <w:b/>
          <w:bCs/>
          <w:sz w:val="17"/>
          <w:szCs w:val="17"/>
        </w:rPr>
        <w:t xml:space="preserve">Office of the Public </w:t>
      </w:r>
      <w:r w:rsidRPr="004F5A37">
        <w:rPr>
          <w:b/>
          <w:bCs/>
          <w:spacing w:val="-3"/>
          <w:sz w:val="17"/>
          <w:szCs w:val="17"/>
        </w:rPr>
        <w:t>A</w:t>
      </w:r>
      <w:r w:rsidRPr="004F5A37">
        <w:rPr>
          <w:b/>
          <w:bCs/>
          <w:spacing w:val="2"/>
          <w:sz w:val="17"/>
          <w:szCs w:val="17"/>
        </w:rPr>
        <w:t>d</w:t>
      </w:r>
      <w:r w:rsidRPr="004F5A37">
        <w:rPr>
          <w:b/>
          <w:bCs/>
          <w:spacing w:val="-2"/>
          <w:sz w:val="17"/>
          <w:szCs w:val="17"/>
        </w:rPr>
        <w:t>v</w:t>
      </w:r>
      <w:r w:rsidRPr="004F5A37">
        <w:rPr>
          <w:b/>
          <w:bCs/>
          <w:sz w:val="17"/>
          <w:szCs w:val="17"/>
        </w:rPr>
        <w:t>ocate</w:t>
      </w:r>
      <w:r w:rsidRPr="004F5A37">
        <w:rPr>
          <w:b/>
          <w:bCs/>
          <w:sz w:val="17"/>
          <w:szCs w:val="17"/>
        </w:rPr>
        <w:br/>
      </w:r>
      <w:r w:rsidRPr="004F5A37">
        <w:rPr>
          <w:sz w:val="17"/>
          <w:szCs w:val="17"/>
        </w:rPr>
        <w:t xml:space="preserve">Level 1, </w:t>
      </w:r>
      <w:r w:rsidRPr="004F5A37">
        <w:rPr>
          <w:spacing w:val="-1"/>
          <w:sz w:val="17"/>
          <w:szCs w:val="17"/>
        </w:rPr>
        <w:t xml:space="preserve">204 </w:t>
      </w:r>
      <w:r w:rsidRPr="004F5A37">
        <w:rPr>
          <w:sz w:val="17"/>
          <w:szCs w:val="17"/>
        </w:rPr>
        <w:t xml:space="preserve">Lygon </w:t>
      </w:r>
      <w:r w:rsidRPr="004F5A37">
        <w:rPr>
          <w:spacing w:val="-8"/>
          <w:sz w:val="17"/>
          <w:szCs w:val="17"/>
        </w:rPr>
        <w:t>S</w:t>
      </w:r>
      <w:r w:rsidRPr="004F5A37">
        <w:rPr>
          <w:spacing w:val="-1"/>
          <w:sz w:val="17"/>
          <w:szCs w:val="17"/>
        </w:rPr>
        <w:t>t</w:t>
      </w:r>
      <w:r w:rsidRPr="004F5A37">
        <w:rPr>
          <w:sz w:val="17"/>
          <w:szCs w:val="17"/>
        </w:rPr>
        <w:t xml:space="preserve">reet, </w:t>
      </w:r>
      <w:r w:rsidRPr="004F5A37">
        <w:rPr>
          <w:spacing w:val="1"/>
          <w:sz w:val="17"/>
          <w:szCs w:val="17"/>
        </w:rPr>
        <w:t>Carlton</w:t>
      </w:r>
      <w:r w:rsidRPr="004F5A37">
        <w:rPr>
          <w:sz w:val="17"/>
          <w:szCs w:val="17"/>
        </w:rPr>
        <w:t xml:space="preserve">, </w:t>
      </w:r>
      <w:r w:rsidRPr="004F5A37">
        <w:rPr>
          <w:spacing w:val="-3"/>
          <w:sz w:val="17"/>
          <w:szCs w:val="17"/>
        </w:rPr>
        <w:t>V</w:t>
      </w:r>
      <w:r w:rsidRPr="004F5A37">
        <w:rPr>
          <w:spacing w:val="1"/>
          <w:sz w:val="17"/>
          <w:szCs w:val="17"/>
        </w:rPr>
        <w:t>i</w:t>
      </w:r>
      <w:r w:rsidRPr="004F5A37">
        <w:rPr>
          <w:sz w:val="17"/>
          <w:szCs w:val="17"/>
        </w:rPr>
        <w:t>ctoria, 3053</w:t>
      </w:r>
      <w:r w:rsidRPr="004F5A37">
        <w:rPr>
          <w:sz w:val="17"/>
          <w:szCs w:val="17"/>
        </w:rPr>
        <w:br/>
      </w:r>
      <w:r w:rsidRPr="004F5A37">
        <w:rPr>
          <w:spacing w:val="-18"/>
          <w:sz w:val="17"/>
          <w:szCs w:val="17"/>
        </w:rPr>
        <w:t>T</w:t>
      </w:r>
      <w:r w:rsidRPr="004F5A37">
        <w:rPr>
          <w:spacing w:val="-1"/>
          <w:sz w:val="17"/>
          <w:szCs w:val="17"/>
        </w:rPr>
        <w:t>e</w:t>
      </w:r>
      <w:r w:rsidRPr="004F5A37">
        <w:rPr>
          <w:sz w:val="17"/>
          <w:szCs w:val="17"/>
        </w:rPr>
        <w:t xml:space="preserve">l: 1300 309 </w:t>
      </w:r>
      <w:r w:rsidRPr="004F5A37">
        <w:rPr>
          <w:spacing w:val="-1"/>
          <w:sz w:val="17"/>
          <w:szCs w:val="17"/>
        </w:rPr>
        <w:t>3</w:t>
      </w:r>
      <w:r w:rsidRPr="004F5A37">
        <w:rPr>
          <w:sz w:val="17"/>
          <w:szCs w:val="17"/>
        </w:rPr>
        <w:t>37</w:t>
      </w:r>
      <w:r w:rsidRPr="004F5A37">
        <w:rPr>
          <w:sz w:val="17"/>
          <w:szCs w:val="17"/>
        </w:rPr>
        <w:br/>
      </w:r>
      <w:hyperlink r:id="rId11" w:history="1">
        <w:r w:rsidRPr="004F5A37">
          <w:rPr>
            <w:b/>
            <w:bCs/>
            <w:sz w:val="17"/>
            <w:szCs w:val="17"/>
          </w:rPr>
          <w:t>ww</w:t>
        </w:r>
        <w:r w:rsidRPr="004F5A37">
          <w:rPr>
            <w:b/>
            <w:bCs/>
            <w:spacing w:val="-3"/>
            <w:sz w:val="17"/>
            <w:szCs w:val="17"/>
          </w:rPr>
          <w:t>w</w:t>
        </w:r>
        <w:r w:rsidRPr="004F5A37">
          <w:rPr>
            <w:b/>
            <w:bCs/>
            <w:spacing w:val="-2"/>
            <w:sz w:val="17"/>
            <w:szCs w:val="17"/>
          </w:rPr>
          <w:t>.</w:t>
        </w:r>
        <w:r w:rsidRPr="004F5A37">
          <w:rPr>
            <w:b/>
            <w:bCs/>
            <w:spacing w:val="-1"/>
            <w:sz w:val="17"/>
            <w:szCs w:val="17"/>
          </w:rPr>
          <w:t>pu</w:t>
        </w:r>
        <w:r w:rsidRPr="004F5A37">
          <w:rPr>
            <w:b/>
            <w:bCs/>
            <w:sz w:val="17"/>
            <w:szCs w:val="17"/>
          </w:rPr>
          <w:t>blica</w:t>
        </w:r>
        <w:r w:rsidRPr="004F5A37">
          <w:rPr>
            <w:b/>
            <w:bCs/>
            <w:spacing w:val="-1"/>
            <w:sz w:val="17"/>
            <w:szCs w:val="17"/>
          </w:rPr>
          <w:t>d</w:t>
        </w:r>
        <w:r w:rsidRPr="004F5A37">
          <w:rPr>
            <w:b/>
            <w:bCs/>
            <w:spacing w:val="-2"/>
            <w:sz w:val="17"/>
            <w:szCs w:val="17"/>
          </w:rPr>
          <w:t>v</w:t>
        </w:r>
        <w:r w:rsidRPr="004F5A37">
          <w:rPr>
            <w:b/>
            <w:bCs/>
            <w:sz w:val="17"/>
            <w:szCs w:val="17"/>
          </w:rPr>
          <w:t>ocate</w:t>
        </w:r>
        <w:r w:rsidRPr="004F5A37">
          <w:rPr>
            <w:b/>
            <w:bCs/>
            <w:spacing w:val="2"/>
            <w:sz w:val="17"/>
            <w:szCs w:val="17"/>
          </w:rPr>
          <w:t>.</w:t>
        </w:r>
        <w:r w:rsidRPr="004F5A37">
          <w:rPr>
            <w:b/>
            <w:bCs/>
            <w:spacing w:val="-2"/>
            <w:sz w:val="17"/>
            <w:szCs w:val="17"/>
          </w:rPr>
          <w:t>v</w:t>
        </w:r>
        <w:r w:rsidRPr="004F5A37">
          <w:rPr>
            <w:b/>
            <w:bCs/>
            <w:spacing w:val="-1"/>
            <w:sz w:val="17"/>
            <w:szCs w:val="17"/>
          </w:rPr>
          <w:t>i</w:t>
        </w:r>
        <w:r w:rsidRPr="004F5A37">
          <w:rPr>
            <w:b/>
            <w:bCs/>
            <w:sz w:val="17"/>
            <w:szCs w:val="17"/>
          </w:rPr>
          <w:t>c.g</w:t>
        </w:r>
        <w:r w:rsidRPr="004F5A37">
          <w:rPr>
            <w:b/>
            <w:bCs/>
            <w:spacing w:val="3"/>
            <w:sz w:val="17"/>
            <w:szCs w:val="17"/>
          </w:rPr>
          <w:t>o</w:t>
        </w:r>
        <w:r w:rsidRPr="004F5A37">
          <w:rPr>
            <w:b/>
            <w:bCs/>
            <w:spacing w:val="-16"/>
            <w:sz w:val="17"/>
            <w:szCs w:val="17"/>
          </w:rPr>
          <w:t>v</w:t>
        </w:r>
        <w:r w:rsidRPr="004F5A37">
          <w:rPr>
            <w:b/>
            <w:bCs/>
            <w:spacing w:val="1"/>
            <w:sz w:val="17"/>
            <w:szCs w:val="17"/>
          </w:rPr>
          <w:t>.</w:t>
        </w:r>
        <w:r w:rsidRPr="004F5A37">
          <w:rPr>
            <w:b/>
            <w:bCs/>
            <w:sz w:val="17"/>
            <w:szCs w:val="17"/>
          </w:rPr>
          <w:t>au</w:t>
        </w:r>
      </w:hyperlink>
    </w:p>
    <w:p w14:paraId="1B180320" w14:textId="14F32AF0" w:rsidR="00FB0A11" w:rsidRPr="00C12B54" w:rsidRDefault="00FB0A11" w:rsidP="00C12B54">
      <w:pPr>
        <w:rPr>
          <w:b/>
          <w:bCs/>
          <w:sz w:val="17"/>
          <w:szCs w:val="17"/>
        </w:rPr>
      </w:pPr>
    </w:p>
    <w:p w14:paraId="5D3EE8D7" w14:textId="3C41BAE5" w:rsidR="00B66E62" w:rsidRDefault="00B66E62" w:rsidP="006000D8">
      <w:pPr>
        <w:ind w:right="-330"/>
        <w:rPr>
          <w:rFonts w:asciiTheme="majorHAnsi" w:eastAsiaTheme="majorEastAsia" w:hAnsiTheme="majorHAnsi" w:cstheme="majorBidi"/>
          <w:color w:val="0F4761" w:themeColor="accent1" w:themeShade="BF"/>
          <w:sz w:val="40"/>
          <w:szCs w:val="40"/>
        </w:rPr>
      </w:pPr>
      <w:r>
        <w:br w:type="page"/>
      </w:r>
    </w:p>
    <w:sdt>
      <w:sdtPr>
        <w:rPr>
          <w:rFonts w:ascii="Arial" w:eastAsiaTheme="minorEastAsia" w:hAnsi="Arial" w:cstheme="minorBidi"/>
          <w:color w:val="auto"/>
          <w:kern w:val="2"/>
          <w:sz w:val="22"/>
          <w:szCs w:val="22"/>
          <w:lang w:val="en-AU"/>
        </w:rPr>
        <w:id w:val="-1034188096"/>
        <w:docPartObj>
          <w:docPartGallery w:val="Table of Contents"/>
          <w:docPartUnique/>
        </w:docPartObj>
      </w:sdtPr>
      <w:sdtEndPr>
        <w:rPr>
          <w:b/>
          <w:bCs/>
          <w:noProof/>
        </w:rPr>
      </w:sdtEndPr>
      <w:sdtContent>
        <w:p w14:paraId="38797EA7" w14:textId="77777777" w:rsidR="00B342F1" w:rsidRDefault="00B342F1" w:rsidP="00C12B54">
          <w:pPr>
            <w:pStyle w:val="TOCHeading"/>
            <w:rPr>
              <w:rFonts w:ascii="Arial" w:eastAsiaTheme="minorEastAsia" w:hAnsi="Arial" w:cstheme="minorBidi"/>
              <w:color w:val="auto"/>
              <w:kern w:val="2"/>
              <w:sz w:val="22"/>
              <w:szCs w:val="22"/>
              <w:lang w:val="en-AU"/>
            </w:rPr>
          </w:pPr>
        </w:p>
        <w:p w14:paraId="23ADBCE2" w14:textId="77777777" w:rsidR="00A926F3" w:rsidRDefault="00A926F3" w:rsidP="00A926F3"/>
        <w:p w14:paraId="70F33AFC" w14:textId="77777777" w:rsidR="00A926F3" w:rsidRPr="00A926F3" w:rsidRDefault="00A926F3" w:rsidP="00A926F3"/>
        <w:p w14:paraId="074CF6B0" w14:textId="6C70A511" w:rsidR="00C12B54" w:rsidRDefault="00C12B54" w:rsidP="00C12B54">
          <w:pPr>
            <w:pStyle w:val="TOCHeading"/>
          </w:pPr>
          <w:r>
            <w:t>Contents</w:t>
          </w:r>
        </w:p>
        <w:p w14:paraId="785A6785" w14:textId="3DAE977F" w:rsidR="0016584F" w:rsidRDefault="00C12B54">
          <w:pPr>
            <w:pStyle w:val="TOC1"/>
            <w:tabs>
              <w:tab w:val="right" w:leader="dot" w:pos="9350"/>
            </w:tabs>
            <w:rPr>
              <w:rFonts w:asciiTheme="minorHAnsi" w:eastAsiaTheme="minorEastAsia" w:hAnsiTheme="minorHAnsi"/>
              <w:noProof/>
              <w:sz w:val="24"/>
              <w:szCs w:val="24"/>
              <w:lang w:eastAsia="en-AU"/>
            </w:rPr>
          </w:pPr>
          <w:r>
            <w:fldChar w:fldCharType="begin"/>
          </w:r>
          <w:r>
            <w:instrText xml:space="preserve"> TOC \o "1-3" \h \z \u </w:instrText>
          </w:r>
          <w:r>
            <w:fldChar w:fldCharType="separate"/>
          </w:r>
          <w:hyperlink w:anchor="_Toc200963464" w:history="1">
            <w:r w:rsidR="0016584F" w:rsidRPr="000F41B4">
              <w:rPr>
                <w:rStyle w:val="Hyperlink"/>
                <w:noProof/>
              </w:rPr>
              <w:t>Key insights</w:t>
            </w:r>
            <w:r w:rsidR="0016584F">
              <w:rPr>
                <w:noProof/>
                <w:webHidden/>
              </w:rPr>
              <w:tab/>
            </w:r>
            <w:r w:rsidR="0016584F">
              <w:rPr>
                <w:noProof/>
                <w:webHidden/>
              </w:rPr>
              <w:fldChar w:fldCharType="begin"/>
            </w:r>
            <w:r w:rsidR="0016584F">
              <w:rPr>
                <w:noProof/>
                <w:webHidden/>
              </w:rPr>
              <w:instrText xml:space="preserve"> PAGEREF _Toc200963464 \h </w:instrText>
            </w:r>
            <w:r w:rsidR="0016584F">
              <w:rPr>
                <w:noProof/>
                <w:webHidden/>
              </w:rPr>
            </w:r>
            <w:r w:rsidR="0016584F">
              <w:rPr>
                <w:noProof/>
                <w:webHidden/>
              </w:rPr>
              <w:fldChar w:fldCharType="separate"/>
            </w:r>
            <w:r w:rsidR="007B1F0B">
              <w:rPr>
                <w:noProof/>
                <w:webHidden/>
              </w:rPr>
              <w:t>3</w:t>
            </w:r>
            <w:r w:rsidR="0016584F">
              <w:rPr>
                <w:noProof/>
                <w:webHidden/>
              </w:rPr>
              <w:fldChar w:fldCharType="end"/>
            </w:r>
          </w:hyperlink>
        </w:p>
        <w:p w14:paraId="3F4252DA" w14:textId="55104B28" w:rsidR="0016584F" w:rsidRDefault="0016584F">
          <w:pPr>
            <w:pStyle w:val="TOC1"/>
            <w:tabs>
              <w:tab w:val="right" w:leader="dot" w:pos="9350"/>
            </w:tabs>
            <w:rPr>
              <w:rFonts w:asciiTheme="minorHAnsi" w:eastAsiaTheme="minorEastAsia" w:hAnsiTheme="minorHAnsi"/>
              <w:noProof/>
              <w:sz w:val="24"/>
              <w:szCs w:val="24"/>
              <w:lang w:eastAsia="en-AU"/>
            </w:rPr>
          </w:pPr>
          <w:hyperlink w:anchor="_Toc200963465" w:history="1">
            <w:r w:rsidRPr="000F41B4">
              <w:rPr>
                <w:rStyle w:val="Hyperlink"/>
                <w:noProof/>
              </w:rPr>
              <w:t>Introduction</w:t>
            </w:r>
            <w:r>
              <w:rPr>
                <w:noProof/>
                <w:webHidden/>
              </w:rPr>
              <w:tab/>
            </w:r>
            <w:r>
              <w:rPr>
                <w:noProof/>
                <w:webHidden/>
              </w:rPr>
              <w:fldChar w:fldCharType="begin"/>
            </w:r>
            <w:r>
              <w:rPr>
                <w:noProof/>
                <w:webHidden/>
              </w:rPr>
              <w:instrText xml:space="preserve"> PAGEREF _Toc200963465 \h </w:instrText>
            </w:r>
            <w:r>
              <w:rPr>
                <w:noProof/>
                <w:webHidden/>
              </w:rPr>
            </w:r>
            <w:r>
              <w:rPr>
                <w:noProof/>
                <w:webHidden/>
              </w:rPr>
              <w:fldChar w:fldCharType="separate"/>
            </w:r>
            <w:r w:rsidR="007B1F0B">
              <w:rPr>
                <w:noProof/>
                <w:webHidden/>
              </w:rPr>
              <w:t>3</w:t>
            </w:r>
            <w:r>
              <w:rPr>
                <w:noProof/>
                <w:webHidden/>
              </w:rPr>
              <w:fldChar w:fldCharType="end"/>
            </w:r>
          </w:hyperlink>
        </w:p>
        <w:p w14:paraId="6E7140A5" w14:textId="04E1F985" w:rsidR="0016584F" w:rsidRDefault="0016584F">
          <w:pPr>
            <w:pStyle w:val="TOC1"/>
            <w:tabs>
              <w:tab w:val="right" w:leader="dot" w:pos="9350"/>
            </w:tabs>
            <w:rPr>
              <w:rFonts w:asciiTheme="minorHAnsi" w:eastAsiaTheme="minorEastAsia" w:hAnsiTheme="minorHAnsi"/>
              <w:noProof/>
              <w:sz w:val="24"/>
              <w:szCs w:val="24"/>
              <w:lang w:eastAsia="en-AU"/>
            </w:rPr>
          </w:pPr>
          <w:hyperlink w:anchor="_Toc200963466" w:history="1">
            <w:r w:rsidRPr="000F41B4">
              <w:rPr>
                <w:rStyle w:val="Hyperlink"/>
                <w:noProof/>
              </w:rPr>
              <w:t>Background</w:t>
            </w:r>
            <w:r>
              <w:rPr>
                <w:noProof/>
                <w:webHidden/>
              </w:rPr>
              <w:tab/>
            </w:r>
            <w:r>
              <w:rPr>
                <w:noProof/>
                <w:webHidden/>
              </w:rPr>
              <w:fldChar w:fldCharType="begin"/>
            </w:r>
            <w:r>
              <w:rPr>
                <w:noProof/>
                <w:webHidden/>
              </w:rPr>
              <w:instrText xml:space="preserve"> PAGEREF _Toc200963466 \h </w:instrText>
            </w:r>
            <w:r>
              <w:rPr>
                <w:noProof/>
                <w:webHidden/>
              </w:rPr>
            </w:r>
            <w:r>
              <w:rPr>
                <w:noProof/>
                <w:webHidden/>
              </w:rPr>
              <w:fldChar w:fldCharType="separate"/>
            </w:r>
            <w:r w:rsidR="007B1F0B">
              <w:rPr>
                <w:noProof/>
                <w:webHidden/>
              </w:rPr>
              <w:t>4</w:t>
            </w:r>
            <w:r>
              <w:rPr>
                <w:noProof/>
                <w:webHidden/>
              </w:rPr>
              <w:fldChar w:fldCharType="end"/>
            </w:r>
          </w:hyperlink>
        </w:p>
        <w:p w14:paraId="09C9F6C7" w14:textId="3CEE5549" w:rsidR="0016584F" w:rsidRDefault="0016584F">
          <w:pPr>
            <w:pStyle w:val="TOC3"/>
            <w:tabs>
              <w:tab w:val="right" w:leader="dot" w:pos="9350"/>
            </w:tabs>
            <w:rPr>
              <w:rFonts w:asciiTheme="minorHAnsi" w:eastAsiaTheme="minorEastAsia" w:hAnsiTheme="minorHAnsi"/>
              <w:noProof/>
              <w:sz w:val="24"/>
              <w:szCs w:val="24"/>
              <w:lang w:eastAsia="en-AU"/>
            </w:rPr>
          </w:pPr>
          <w:hyperlink w:anchor="_Toc200963467" w:history="1">
            <w:r w:rsidRPr="000F41B4">
              <w:rPr>
                <w:rStyle w:val="Hyperlink"/>
                <w:noProof/>
              </w:rPr>
              <w:t>Convention on the Rights of Persons with Disabilities</w:t>
            </w:r>
            <w:r>
              <w:rPr>
                <w:noProof/>
                <w:webHidden/>
              </w:rPr>
              <w:tab/>
            </w:r>
            <w:r>
              <w:rPr>
                <w:noProof/>
                <w:webHidden/>
              </w:rPr>
              <w:fldChar w:fldCharType="begin"/>
            </w:r>
            <w:r>
              <w:rPr>
                <w:noProof/>
                <w:webHidden/>
              </w:rPr>
              <w:instrText xml:space="preserve"> PAGEREF _Toc200963467 \h </w:instrText>
            </w:r>
            <w:r>
              <w:rPr>
                <w:noProof/>
                <w:webHidden/>
              </w:rPr>
            </w:r>
            <w:r>
              <w:rPr>
                <w:noProof/>
                <w:webHidden/>
              </w:rPr>
              <w:fldChar w:fldCharType="separate"/>
            </w:r>
            <w:r w:rsidR="007B1F0B">
              <w:rPr>
                <w:noProof/>
                <w:webHidden/>
              </w:rPr>
              <w:t>4</w:t>
            </w:r>
            <w:r>
              <w:rPr>
                <w:noProof/>
                <w:webHidden/>
              </w:rPr>
              <w:fldChar w:fldCharType="end"/>
            </w:r>
          </w:hyperlink>
        </w:p>
        <w:p w14:paraId="240CD516" w14:textId="2E9A5CC1" w:rsidR="0016584F" w:rsidRDefault="0016584F">
          <w:pPr>
            <w:pStyle w:val="TOC3"/>
            <w:tabs>
              <w:tab w:val="right" w:leader="dot" w:pos="9350"/>
            </w:tabs>
            <w:rPr>
              <w:rFonts w:asciiTheme="minorHAnsi" w:eastAsiaTheme="minorEastAsia" w:hAnsiTheme="minorHAnsi"/>
              <w:noProof/>
              <w:sz w:val="24"/>
              <w:szCs w:val="24"/>
              <w:lang w:eastAsia="en-AU"/>
            </w:rPr>
          </w:pPr>
          <w:hyperlink w:anchor="_Toc200963468" w:history="1">
            <w:r w:rsidRPr="000F41B4">
              <w:rPr>
                <w:rStyle w:val="Hyperlink"/>
                <w:noProof/>
              </w:rPr>
              <w:t>National Disability Insurance Scheme</w:t>
            </w:r>
            <w:r>
              <w:rPr>
                <w:noProof/>
                <w:webHidden/>
              </w:rPr>
              <w:tab/>
            </w:r>
            <w:r>
              <w:rPr>
                <w:noProof/>
                <w:webHidden/>
              </w:rPr>
              <w:fldChar w:fldCharType="begin"/>
            </w:r>
            <w:r>
              <w:rPr>
                <w:noProof/>
                <w:webHidden/>
              </w:rPr>
              <w:instrText xml:space="preserve"> PAGEREF _Toc200963468 \h </w:instrText>
            </w:r>
            <w:r>
              <w:rPr>
                <w:noProof/>
                <w:webHidden/>
              </w:rPr>
            </w:r>
            <w:r>
              <w:rPr>
                <w:noProof/>
                <w:webHidden/>
              </w:rPr>
              <w:fldChar w:fldCharType="separate"/>
            </w:r>
            <w:r w:rsidR="007B1F0B">
              <w:rPr>
                <w:noProof/>
                <w:webHidden/>
              </w:rPr>
              <w:t>4</w:t>
            </w:r>
            <w:r>
              <w:rPr>
                <w:noProof/>
                <w:webHidden/>
              </w:rPr>
              <w:fldChar w:fldCharType="end"/>
            </w:r>
          </w:hyperlink>
        </w:p>
        <w:p w14:paraId="1B576797" w14:textId="5C727E0E" w:rsidR="0016584F" w:rsidRDefault="0016584F">
          <w:pPr>
            <w:pStyle w:val="TOC3"/>
            <w:tabs>
              <w:tab w:val="right" w:leader="dot" w:pos="9350"/>
            </w:tabs>
            <w:rPr>
              <w:rFonts w:asciiTheme="minorHAnsi" w:eastAsiaTheme="minorEastAsia" w:hAnsiTheme="minorHAnsi"/>
              <w:noProof/>
              <w:sz w:val="24"/>
              <w:szCs w:val="24"/>
              <w:lang w:eastAsia="en-AU"/>
            </w:rPr>
          </w:pPr>
          <w:hyperlink w:anchor="_Toc200963469" w:history="1">
            <w:r w:rsidRPr="000F41B4">
              <w:rPr>
                <w:rStyle w:val="Hyperlink"/>
                <w:noProof/>
              </w:rPr>
              <w:t>Legislative change</w:t>
            </w:r>
            <w:r>
              <w:rPr>
                <w:noProof/>
                <w:webHidden/>
              </w:rPr>
              <w:tab/>
            </w:r>
            <w:r>
              <w:rPr>
                <w:noProof/>
                <w:webHidden/>
              </w:rPr>
              <w:fldChar w:fldCharType="begin"/>
            </w:r>
            <w:r>
              <w:rPr>
                <w:noProof/>
                <w:webHidden/>
              </w:rPr>
              <w:instrText xml:space="preserve"> PAGEREF _Toc200963469 \h </w:instrText>
            </w:r>
            <w:r>
              <w:rPr>
                <w:noProof/>
                <w:webHidden/>
              </w:rPr>
            </w:r>
            <w:r>
              <w:rPr>
                <w:noProof/>
                <w:webHidden/>
              </w:rPr>
              <w:fldChar w:fldCharType="separate"/>
            </w:r>
            <w:r w:rsidR="007B1F0B">
              <w:rPr>
                <w:noProof/>
                <w:webHidden/>
              </w:rPr>
              <w:t>5</w:t>
            </w:r>
            <w:r>
              <w:rPr>
                <w:noProof/>
                <w:webHidden/>
              </w:rPr>
              <w:fldChar w:fldCharType="end"/>
            </w:r>
          </w:hyperlink>
        </w:p>
        <w:p w14:paraId="032DC0FC" w14:textId="47CE1E40" w:rsidR="0016584F" w:rsidRDefault="0016584F">
          <w:pPr>
            <w:pStyle w:val="TOC3"/>
            <w:tabs>
              <w:tab w:val="right" w:leader="dot" w:pos="9350"/>
            </w:tabs>
            <w:rPr>
              <w:rFonts w:asciiTheme="minorHAnsi" w:eastAsiaTheme="minorEastAsia" w:hAnsiTheme="minorHAnsi"/>
              <w:noProof/>
              <w:sz w:val="24"/>
              <w:szCs w:val="24"/>
              <w:lang w:eastAsia="en-AU"/>
            </w:rPr>
          </w:pPr>
          <w:hyperlink w:anchor="_Toc200963470" w:history="1">
            <w:r w:rsidRPr="000F41B4">
              <w:rPr>
                <w:rStyle w:val="Hyperlink"/>
                <w:noProof/>
              </w:rPr>
              <w:t>Legislative criteria for the appointment of a guardian</w:t>
            </w:r>
            <w:r>
              <w:rPr>
                <w:noProof/>
                <w:webHidden/>
              </w:rPr>
              <w:tab/>
            </w:r>
            <w:r>
              <w:rPr>
                <w:noProof/>
                <w:webHidden/>
              </w:rPr>
              <w:fldChar w:fldCharType="begin"/>
            </w:r>
            <w:r>
              <w:rPr>
                <w:noProof/>
                <w:webHidden/>
              </w:rPr>
              <w:instrText xml:space="preserve"> PAGEREF _Toc200963470 \h </w:instrText>
            </w:r>
            <w:r>
              <w:rPr>
                <w:noProof/>
                <w:webHidden/>
              </w:rPr>
            </w:r>
            <w:r>
              <w:rPr>
                <w:noProof/>
                <w:webHidden/>
              </w:rPr>
              <w:fldChar w:fldCharType="separate"/>
            </w:r>
            <w:r w:rsidR="007B1F0B">
              <w:rPr>
                <w:noProof/>
                <w:webHidden/>
              </w:rPr>
              <w:t>5</w:t>
            </w:r>
            <w:r>
              <w:rPr>
                <w:noProof/>
                <w:webHidden/>
              </w:rPr>
              <w:fldChar w:fldCharType="end"/>
            </w:r>
          </w:hyperlink>
        </w:p>
        <w:p w14:paraId="0D512EB6" w14:textId="36889890" w:rsidR="0016584F" w:rsidRDefault="0016584F">
          <w:pPr>
            <w:pStyle w:val="TOC3"/>
            <w:tabs>
              <w:tab w:val="right" w:leader="dot" w:pos="9350"/>
            </w:tabs>
            <w:rPr>
              <w:rFonts w:asciiTheme="minorHAnsi" w:eastAsiaTheme="minorEastAsia" w:hAnsiTheme="minorHAnsi"/>
              <w:noProof/>
              <w:sz w:val="24"/>
              <w:szCs w:val="24"/>
              <w:lang w:eastAsia="en-AU"/>
            </w:rPr>
          </w:pPr>
          <w:hyperlink w:anchor="_Toc200963471" w:history="1">
            <w:r w:rsidRPr="000F41B4">
              <w:rPr>
                <w:rStyle w:val="Hyperlink"/>
                <w:noProof/>
              </w:rPr>
              <w:t>Average length of time subject to guardianship, 2008–2022</w:t>
            </w:r>
            <w:r>
              <w:rPr>
                <w:noProof/>
                <w:webHidden/>
              </w:rPr>
              <w:tab/>
            </w:r>
            <w:r>
              <w:rPr>
                <w:noProof/>
                <w:webHidden/>
              </w:rPr>
              <w:fldChar w:fldCharType="begin"/>
            </w:r>
            <w:r>
              <w:rPr>
                <w:noProof/>
                <w:webHidden/>
              </w:rPr>
              <w:instrText xml:space="preserve"> PAGEREF _Toc200963471 \h </w:instrText>
            </w:r>
            <w:r>
              <w:rPr>
                <w:noProof/>
                <w:webHidden/>
              </w:rPr>
            </w:r>
            <w:r>
              <w:rPr>
                <w:noProof/>
                <w:webHidden/>
              </w:rPr>
              <w:fldChar w:fldCharType="separate"/>
            </w:r>
            <w:r w:rsidR="007B1F0B">
              <w:rPr>
                <w:noProof/>
                <w:webHidden/>
              </w:rPr>
              <w:t>6</w:t>
            </w:r>
            <w:r>
              <w:rPr>
                <w:noProof/>
                <w:webHidden/>
              </w:rPr>
              <w:fldChar w:fldCharType="end"/>
            </w:r>
          </w:hyperlink>
        </w:p>
        <w:p w14:paraId="7E79A135" w14:textId="222C9131" w:rsidR="0016584F" w:rsidRDefault="0016584F">
          <w:pPr>
            <w:pStyle w:val="TOC1"/>
            <w:tabs>
              <w:tab w:val="right" w:leader="dot" w:pos="9350"/>
            </w:tabs>
            <w:rPr>
              <w:rFonts w:asciiTheme="minorHAnsi" w:eastAsiaTheme="minorEastAsia" w:hAnsiTheme="minorHAnsi"/>
              <w:noProof/>
              <w:sz w:val="24"/>
              <w:szCs w:val="24"/>
              <w:lang w:eastAsia="en-AU"/>
            </w:rPr>
          </w:pPr>
          <w:hyperlink w:anchor="_Toc200963472" w:history="1">
            <w:r w:rsidRPr="000F41B4">
              <w:rPr>
                <w:rStyle w:val="Hyperlink"/>
                <w:noProof/>
              </w:rPr>
              <w:t>Reappointments over time, 2011–2024</w:t>
            </w:r>
            <w:r>
              <w:rPr>
                <w:noProof/>
                <w:webHidden/>
              </w:rPr>
              <w:tab/>
            </w:r>
            <w:r>
              <w:rPr>
                <w:noProof/>
                <w:webHidden/>
              </w:rPr>
              <w:fldChar w:fldCharType="begin"/>
            </w:r>
            <w:r>
              <w:rPr>
                <w:noProof/>
                <w:webHidden/>
              </w:rPr>
              <w:instrText xml:space="preserve"> PAGEREF _Toc200963472 \h </w:instrText>
            </w:r>
            <w:r>
              <w:rPr>
                <w:noProof/>
                <w:webHidden/>
              </w:rPr>
            </w:r>
            <w:r>
              <w:rPr>
                <w:noProof/>
                <w:webHidden/>
              </w:rPr>
              <w:fldChar w:fldCharType="separate"/>
            </w:r>
            <w:r w:rsidR="007B1F0B">
              <w:rPr>
                <w:noProof/>
                <w:webHidden/>
              </w:rPr>
              <w:t>7</w:t>
            </w:r>
            <w:r>
              <w:rPr>
                <w:noProof/>
                <w:webHidden/>
              </w:rPr>
              <w:fldChar w:fldCharType="end"/>
            </w:r>
          </w:hyperlink>
        </w:p>
        <w:p w14:paraId="1B2A5BB8" w14:textId="564B8A9E" w:rsidR="0016584F" w:rsidRDefault="0016584F">
          <w:pPr>
            <w:pStyle w:val="TOC1"/>
            <w:tabs>
              <w:tab w:val="right" w:leader="dot" w:pos="9350"/>
            </w:tabs>
            <w:rPr>
              <w:rFonts w:asciiTheme="minorHAnsi" w:eastAsiaTheme="minorEastAsia" w:hAnsiTheme="minorHAnsi"/>
              <w:noProof/>
              <w:sz w:val="24"/>
              <w:szCs w:val="24"/>
              <w:lang w:eastAsia="en-AU"/>
            </w:rPr>
          </w:pPr>
          <w:hyperlink w:anchor="_Toc200963473" w:history="1">
            <w:r w:rsidRPr="000F41B4">
              <w:rPr>
                <w:rStyle w:val="Hyperlink"/>
                <w:noProof/>
              </w:rPr>
              <w:t>Multiple appointments</w:t>
            </w:r>
            <w:r>
              <w:rPr>
                <w:noProof/>
                <w:webHidden/>
              </w:rPr>
              <w:tab/>
            </w:r>
            <w:r>
              <w:rPr>
                <w:noProof/>
                <w:webHidden/>
              </w:rPr>
              <w:fldChar w:fldCharType="begin"/>
            </w:r>
            <w:r>
              <w:rPr>
                <w:noProof/>
                <w:webHidden/>
              </w:rPr>
              <w:instrText xml:space="preserve"> PAGEREF _Toc200963473 \h </w:instrText>
            </w:r>
            <w:r>
              <w:rPr>
                <w:noProof/>
                <w:webHidden/>
              </w:rPr>
            </w:r>
            <w:r>
              <w:rPr>
                <w:noProof/>
                <w:webHidden/>
              </w:rPr>
              <w:fldChar w:fldCharType="separate"/>
            </w:r>
            <w:r w:rsidR="007B1F0B">
              <w:rPr>
                <w:noProof/>
                <w:webHidden/>
              </w:rPr>
              <w:t>9</w:t>
            </w:r>
            <w:r>
              <w:rPr>
                <w:noProof/>
                <w:webHidden/>
              </w:rPr>
              <w:fldChar w:fldCharType="end"/>
            </w:r>
          </w:hyperlink>
        </w:p>
        <w:p w14:paraId="430D5492" w14:textId="632E3172"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74" w:history="1">
            <w:r w:rsidRPr="000F41B4">
              <w:rPr>
                <w:rStyle w:val="Hyperlink"/>
                <w:noProof/>
              </w:rPr>
              <w:t>Method</w:t>
            </w:r>
            <w:r>
              <w:rPr>
                <w:noProof/>
                <w:webHidden/>
              </w:rPr>
              <w:tab/>
            </w:r>
            <w:r>
              <w:rPr>
                <w:noProof/>
                <w:webHidden/>
              </w:rPr>
              <w:fldChar w:fldCharType="begin"/>
            </w:r>
            <w:r>
              <w:rPr>
                <w:noProof/>
                <w:webHidden/>
              </w:rPr>
              <w:instrText xml:space="preserve"> PAGEREF _Toc200963474 \h </w:instrText>
            </w:r>
            <w:r>
              <w:rPr>
                <w:noProof/>
                <w:webHidden/>
              </w:rPr>
            </w:r>
            <w:r>
              <w:rPr>
                <w:noProof/>
                <w:webHidden/>
              </w:rPr>
              <w:fldChar w:fldCharType="separate"/>
            </w:r>
            <w:r w:rsidR="007B1F0B">
              <w:rPr>
                <w:noProof/>
                <w:webHidden/>
              </w:rPr>
              <w:t>9</w:t>
            </w:r>
            <w:r>
              <w:rPr>
                <w:noProof/>
                <w:webHidden/>
              </w:rPr>
              <w:fldChar w:fldCharType="end"/>
            </w:r>
          </w:hyperlink>
        </w:p>
        <w:p w14:paraId="71723DC0" w14:textId="726872AD"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75" w:history="1">
            <w:r w:rsidRPr="000F41B4">
              <w:rPr>
                <w:rStyle w:val="Hyperlink"/>
                <w:noProof/>
              </w:rPr>
              <w:t>Gender</w:t>
            </w:r>
            <w:r>
              <w:rPr>
                <w:noProof/>
                <w:webHidden/>
              </w:rPr>
              <w:tab/>
            </w:r>
            <w:r>
              <w:rPr>
                <w:noProof/>
                <w:webHidden/>
              </w:rPr>
              <w:fldChar w:fldCharType="begin"/>
            </w:r>
            <w:r>
              <w:rPr>
                <w:noProof/>
                <w:webHidden/>
              </w:rPr>
              <w:instrText xml:space="preserve"> PAGEREF _Toc200963475 \h </w:instrText>
            </w:r>
            <w:r>
              <w:rPr>
                <w:noProof/>
                <w:webHidden/>
              </w:rPr>
            </w:r>
            <w:r>
              <w:rPr>
                <w:noProof/>
                <w:webHidden/>
              </w:rPr>
              <w:fldChar w:fldCharType="separate"/>
            </w:r>
            <w:r w:rsidR="007B1F0B">
              <w:rPr>
                <w:noProof/>
                <w:webHidden/>
              </w:rPr>
              <w:t>9</w:t>
            </w:r>
            <w:r>
              <w:rPr>
                <w:noProof/>
                <w:webHidden/>
              </w:rPr>
              <w:fldChar w:fldCharType="end"/>
            </w:r>
          </w:hyperlink>
        </w:p>
        <w:p w14:paraId="46B7F15A" w14:textId="3948109D"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76" w:history="1">
            <w:r w:rsidRPr="000F41B4">
              <w:rPr>
                <w:rStyle w:val="Hyperlink"/>
                <w:noProof/>
              </w:rPr>
              <w:t>Age group</w:t>
            </w:r>
            <w:r>
              <w:rPr>
                <w:noProof/>
                <w:webHidden/>
              </w:rPr>
              <w:tab/>
            </w:r>
            <w:r>
              <w:rPr>
                <w:noProof/>
                <w:webHidden/>
              </w:rPr>
              <w:fldChar w:fldCharType="begin"/>
            </w:r>
            <w:r>
              <w:rPr>
                <w:noProof/>
                <w:webHidden/>
              </w:rPr>
              <w:instrText xml:space="preserve"> PAGEREF _Toc200963476 \h </w:instrText>
            </w:r>
            <w:r>
              <w:rPr>
                <w:noProof/>
                <w:webHidden/>
              </w:rPr>
            </w:r>
            <w:r>
              <w:rPr>
                <w:noProof/>
                <w:webHidden/>
              </w:rPr>
              <w:fldChar w:fldCharType="separate"/>
            </w:r>
            <w:r w:rsidR="007B1F0B">
              <w:rPr>
                <w:noProof/>
                <w:webHidden/>
              </w:rPr>
              <w:t>9</w:t>
            </w:r>
            <w:r>
              <w:rPr>
                <w:noProof/>
                <w:webHidden/>
              </w:rPr>
              <w:fldChar w:fldCharType="end"/>
            </w:r>
          </w:hyperlink>
        </w:p>
        <w:p w14:paraId="19B2D440" w14:textId="7AFB73B1"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77" w:history="1">
            <w:r w:rsidRPr="000F41B4">
              <w:rPr>
                <w:rStyle w:val="Hyperlink"/>
                <w:noProof/>
              </w:rPr>
              <w:t>Disability</w:t>
            </w:r>
            <w:r>
              <w:rPr>
                <w:noProof/>
                <w:webHidden/>
              </w:rPr>
              <w:tab/>
            </w:r>
            <w:r>
              <w:rPr>
                <w:noProof/>
                <w:webHidden/>
              </w:rPr>
              <w:fldChar w:fldCharType="begin"/>
            </w:r>
            <w:r>
              <w:rPr>
                <w:noProof/>
                <w:webHidden/>
              </w:rPr>
              <w:instrText xml:space="preserve"> PAGEREF _Toc200963477 \h </w:instrText>
            </w:r>
            <w:r>
              <w:rPr>
                <w:noProof/>
                <w:webHidden/>
              </w:rPr>
            </w:r>
            <w:r>
              <w:rPr>
                <w:noProof/>
                <w:webHidden/>
              </w:rPr>
              <w:fldChar w:fldCharType="separate"/>
            </w:r>
            <w:r w:rsidR="007B1F0B">
              <w:rPr>
                <w:noProof/>
                <w:webHidden/>
              </w:rPr>
              <w:t>10</w:t>
            </w:r>
            <w:r>
              <w:rPr>
                <w:noProof/>
                <w:webHidden/>
              </w:rPr>
              <w:fldChar w:fldCharType="end"/>
            </w:r>
          </w:hyperlink>
        </w:p>
        <w:p w14:paraId="7C856AD2" w14:textId="53F99EF6"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78" w:history="1">
            <w:r w:rsidRPr="000F41B4">
              <w:rPr>
                <w:rStyle w:val="Hyperlink"/>
                <w:noProof/>
              </w:rPr>
              <w:t>Relationship between age and disability</w:t>
            </w:r>
            <w:r>
              <w:rPr>
                <w:noProof/>
                <w:webHidden/>
              </w:rPr>
              <w:tab/>
            </w:r>
            <w:r>
              <w:rPr>
                <w:noProof/>
                <w:webHidden/>
              </w:rPr>
              <w:fldChar w:fldCharType="begin"/>
            </w:r>
            <w:r>
              <w:rPr>
                <w:noProof/>
                <w:webHidden/>
              </w:rPr>
              <w:instrText xml:space="preserve"> PAGEREF _Toc200963478 \h </w:instrText>
            </w:r>
            <w:r>
              <w:rPr>
                <w:noProof/>
                <w:webHidden/>
              </w:rPr>
            </w:r>
            <w:r>
              <w:rPr>
                <w:noProof/>
                <w:webHidden/>
              </w:rPr>
              <w:fldChar w:fldCharType="separate"/>
            </w:r>
            <w:r w:rsidR="007B1F0B">
              <w:rPr>
                <w:noProof/>
                <w:webHidden/>
              </w:rPr>
              <w:t>10</w:t>
            </w:r>
            <w:r>
              <w:rPr>
                <w:noProof/>
                <w:webHidden/>
              </w:rPr>
              <w:fldChar w:fldCharType="end"/>
            </w:r>
          </w:hyperlink>
        </w:p>
        <w:p w14:paraId="255FF6BF" w14:textId="787865D8"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79" w:history="1">
            <w:r w:rsidRPr="000F41B4">
              <w:rPr>
                <w:rStyle w:val="Hyperlink"/>
                <w:noProof/>
              </w:rPr>
              <w:t>Aboriginal and Torres Strait Islander status</w:t>
            </w:r>
            <w:r>
              <w:rPr>
                <w:noProof/>
                <w:webHidden/>
              </w:rPr>
              <w:tab/>
            </w:r>
            <w:r>
              <w:rPr>
                <w:noProof/>
                <w:webHidden/>
              </w:rPr>
              <w:fldChar w:fldCharType="begin"/>
            </w:r>
            <w:r>
              <w:rPr>
                <w:noProof/>
                <w:webHidden/>
              </w:rPr>
              <w:instrText xml:space="preserve"> PAGEREF _Toc200963479 \h </w:instrText>
            </w:r>
            <w:r>
              <w:rPr>
                <w:noProof/>
                <w:webHidden/>
              </w:rPr>
            </w:r>
            <w:r>
              <w:rPr>
                <w:noProof/>
                <w:webHidden/>
              </w:rPr>
              <w:fldChar w:fldCharType="separate"/>
            </w:r>
            <w:r w:rsidR="007B1F0B">
              <w:rPr>
                <w:noProof/>
                <w:webHidden/>
              </w:rPr>
              <w:t>11</w:t>
            </w:r>
            <w:r>
              <w:rPr>
                <w:noProof/>
                <w:webHidden/>
              </w:rPr>
              <w:fldChar w:fldCharType="end"/>
            </w:r>
          </w:hyperlink>
        </w:p>
        <w:p w14:paraId="6D89CBFC" w14:textId="0A54EF2B"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80" w:history="1">
            <w:r w:rsidRPr="000F41B4">
              <w:rPr>
                <w:rStyle w:val="Hyperlink"/>
                <w:noProof/>
              </w:rPr>
              <w:t>NDIS participant status</w:t>
            </w:r>
            <w:r>
              <w:rPr>
                <w:noProof/>
                <w:webHidden/>
              </w:rPr>
              <w:tab/>
            </w:r>
            <w:r>
              <w:rPr>
                <w:noProof/>
                <w:webHidden/>
              </w:rPr>
              <w:fldChar w:fldCharType="begin"/>
            </w:r>
            <w:r>
              <w:rPr>
                <w:noProof/>
                <w:webHidden/>
              </w:rPr>
              <w:instrText xml:space="preserve"> PAGEREF _Toc200963480 \h </w:instrText>
            </w:r>
            <w:r>
              <w:rPr>
                <w:noProof/>
                <w:webHidden/>
              </w:rPr>
            </w:r>
            <w:r>
              <w:rPr>
                <w:noProof/>
                <w:webHidden/>
              </w:rPr>
              <w:fldChar w:fldCharType="separate"/>
            </w:r>
            <w:r w:rsidR="007B1F0B">
              <w:rPr>
                <w:noProof/>
                <w:webHidden/>
              </w:rPr>
              <w:t>11</w:t>
            </w:r>
            <w:r>
              <w:rPr>
                <w:noProof/>
                <w:webHidden/>
              </w:rPr>
              <w:fldChar w:fldCharType="end"/>
            </w:r>
          </w:hyperlink>
        </w:p>
        <w:p w14:paraId="5A637124" w14:textId="6C7A33AC"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81" w:history="1">
            <w:r w:rsidRPr="000F41B4">
              <w:rPr>
                <w:rStyle w:val="Hyperlink"/>
                <w:noProof/>
              </w:rPr>
              <w:t>Authority type</w:t>
            </w:r>
            <w:r>
              <w:rPr>
                <w:noProof/>
                <w:webHidden/>
              </w:rPr>
              <w:tab/>
            </w:r>
            <w:r>
              <w:rPr>
                <w:noProof/>
                <w:webHidden/>
              </w:rPr>
              <w:fldChar w:fldCharType="begin"/>
            </w:r>
            <w:r>
              <w:rPr>
                <w:noProof/>
                <w:webHidden/>
              </w:rPr>
              <w:instrText xml:space="preserve"> PAGEREF _Toc200963481 \h </w:instrText>
            </w:r>
            <w:r>
              <w:rPr>
                <w:noProof/>
                <w:webHidden/>
              </w:rPr>
            </w:r>
            <w:r>
              <w:rPr>
                <w:noProof/>
                <w:webHidden/>
              </w:rPr>
              <w:fldChar w:fldCharType="separate"/>
            </w:r>
            <w:r w:rsidR="007B1F0B">
              <w:rPr>
                <w:noProof/>
                <w:webHidden/>
              </w:rPr>
              <w:t>12</w:t>
            </w:r>
            <w:r>
              <w:rPr>
                <w:noProof/>
                <w:webHidden/>
              </w:rPr>
              <w:fldChar w:fldCharType="end"/>
            </w:r>
          </w:hyperlink>
        </w:p>
        <w:p w14:paraId="33F84FD1" w14:textId="273D8D16"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82" w:history="1">
            <w:r w:rsidRPr="000F41B4">
              <w:rPr>
                <w:rStyle w:val="Hyperlink"/>
                <w:noProof/>
              </w:rPr>
              <w:t>Relationship between authority type and participant status</w:t>
            </w:r>
            <w:r>
              <w:rPr>
                <w:noProof/>
                <w:webHidden/>
              </w:rPr>
              <w:tab/>
            </w:r>
            <w:r>
              <w:rPr>
                <w:noProof/>
                <w:webHidden/>
              </w:rPr>
              <w:fldChar w:fldCharType="begin"/>
            </w:r>
            <w:r>
              <w:rPr>
                <w:noProof/>
                <w:webHidden/>
              </w:rPr>
              <w:instrText xml:space="preserve"> PAGEREF _Toc200963482 \h </w:instrText>
            </w:r>
            <w:r>
              <w:rPr>
                <w:noProof/>
                <w:webHidden/>
              </w:rPr>
            </w:r>
            <w:r>
              <w:rPr>
                <w:noProof/>
                <w:webHidden/>
              </w:rPr>
              <w:fldChar w:fldCharType="separate"/>
            </w:r>
            <w:r w:rsidR="007B1F0B">
              <w:rPr>
                <w:noProof/>
                <w:webHidden/>
              </w:rPr>
              <w:t>12</w:t>
            </w:r>
            <w:r>
              <w:rPr>
                <w:noProof/>
                <w:webHidden/>
              </w:rPr>
              <w:fldChar w:fldCharType="end"/>
            </w:r>
          </w:hyperlink>
        </w:p>
        <w:p w14:paraId="581AC151" w14:textId="477C53FE" w:rsidR="0016584F" w:rsidRDefault="0016584F">
          <w:pPr>
            <w:pStyle w:val="TOC2"/>
            <w:tabs>
              <w:tab w:val="right" w:leader="dot" w:pos="9350"/>
            </w:tabs>
            <w:rPr>
              <w:rFonts w:asciiTheme="minorHAnsi" w:eastAsiaTheme="minorEastAsia" w:hAnsiTheme="minorHAnsi"/>
              <w:noProof/>
              <w:sz w:val="24"/>
              <w:szCs w:val="24"/>
              <w:lang w:eastAsia="en-AU"/>
            </w:rPr>
          </w:pPr>
          <w:hyperlink w:anchor="_Toc200963483" w:history="1">
            <w:r w:rsidRPr="000F41B4">
              <w:rPr>
                <w:rStyle w:val="Hyperlink"/>
                <w:noProof/>
              </w:rPr>
              <w:t>Analysis of decisions by free text review</w:t>
            </w:r>
            <w:r>
              <w:rPr>
                <w:noProof/>
                <w:webHidden/>
              </w:rPr>
              <w:tab/>
            </w:r>
            <w:r>
              <w:rPr>
                <w:noProof/>
                <w:webHidden/>
              </w:rPr>
              <w:fldChar w:fldCharType="begin"/>
            </w:r>
            <w:r>
              <w:rPr>
                <w:noProof/>
                <w:webHidden/>
              </w:rPr>
              <w:instrText xml:space="preserve"> PAGEREF _Toc200963483 \h </w:instrText>
            </w:r>
            <w:r>
              <w:rPr>
                <w:noProof/>
                <w:webHidden/>
              </w:rPr>
            </w:r>
            <w:r>
              <w:rPr>
                <w:noProof/>
                <w:webHidden/>
              </w:rPr>
              <w:fldChar w:fldCharType="separate"/>
            </w:r>
            <w:r w:rsidR="007B1F0B">
              <w:rPr>
                <w:noProof/>
                <w:webHidden/>
              </w:rPr>
              <w:t>13</w:t>
            </w:r>
            <w:r>
              <w:rPr>
                <w:noProof/>
                <w:webHidden/>
              </w:rPr>
              <w:fldChar w:fldCharType="end"/>
            </w:r>
          </w:hyperlink>
        </w:p>
        <w:p w14:paraId="157729B4" w14:textId="628C5311" w:rsidR="0016584F" w:rsidRDefault="0016584F">
          <w:pPr>
            <w:pStyle w:val="TOC1"/>
            <w:tabs>
              <w:tab w:val="right" w:leader="dot" w:pos="9350"/>
            </w:tabs>
            <w:rPr>
              <w:rFonts w:asciiTheme="minorHAnsi" w:eastAsiaTheme="minorEastAsia" w:hAnsiTheme="minorHAnsi"/>
              <w:noProof/>
              <w:sz w:val="24"/>
              <w:szCs w:val="24"/>
              <w:lang w:eastAsia="en-AU"/>
            </w:rPr>
          </w:pPr>
          <w:hyperlink w:anchor="_Toc200963484" w:history="1">
            <w:r w:rsidRPr="000F41B4">
              <w:rPr>
                <w:rStyle w:val="Hyperlink"/>
                <w:noProof/>
              </w:rPr>
              <w:t>Discussion</w:t>
            </w:r>
            <w:r>
              <w:rPr>
                <w:noProof/>
                <w:webHidden/>
              </w:rPr>
              <w:tab/>
            </w:r>
            <w:r>
              <w:rPr>
                <w:noProof/>
                <w:webHidden/>
              </w:rPr>
              <w:fldChar w:fldCharType="begin"/>
            </w:r>
            <w:r>
              <w:rPr>
                <w:noProof/>
                <w:webHidden/>
              </w:rPr>
              <w:instrText xml:space="preserve"> PAGEREF _Toc200963484 \h </w:instrText>
            </w:r>
            <w:r>
              <w:rPr>
                <w:noProof/>
                <w:webHidden/>
              </w:rPr>
            </w:r>
            <w:r>
              <w:rPr>
                <w:noProof/>
                <w:webHidden/>
              </w:rPr>
              <w:fldChar w:fldCharType="separate"/>
            </w:r>
            <w:r w:rsidR="007B1F0B">
              <w:rPr>
                <w:noProof/>
                <w:webHidden/>
              </w:rPr>
              <w:t>14</w:t>
            </w:r>
            <w:r>
              <w:rPr>
                <w:noProof/>
                <w:webHidden/>
              </w:rPr>
              <w:fldChar w:fldCharType="end"/>
            </w:r>
          </w:hyperlink>
        </w:p>
        <w:p w14:paraId="2E9FE605" w14:textId="178799BD" w:rsidR="00C12B54" w:rsidRDefault="00C12B54" w:rsidP="00C12B54">
          <w:r>
            <w:rPr>
              <w:b/>
              <w:bCs/>
              <w:noProof/>
            </w:rPr>
            <w:fldChar w:fldCharType="end"/>
          </w:r>
        </w:p>
      </w:sdtContent>
    </w:sdt>
    <w:p w14:paraId="4748167F" w14:textId="77777777" w:rsidR="00C12B54" w:rsidRPr="004645DC" w:rsidRDefault="00C12B54" w:rsidP="00C12B54"/>
    <w:p w14:paraId="3393E752" w14:textId="77777777" w:rsidR="00C12B54" w:rsidRDefault="00C12B54" w:rsidP="00C12B54">
      <w:pPr>
        <w:rPr>
          <w:rFonts w:eastAsiaTheme="majorEastAsia" w:cstheme="majorBidi"/>
          <w:color w:val="0F4761" w:themeColor="accent1" w:themeShade="BF"/>
          <w:sz w:val="32"/>
          <w:szCs w:val="32"/>
        </w:rPr>
      </w:pPr>
      <w:r>
        <w:br w:type="page"/>
      </w:r>
    </w:p>
    <w:tbl>
      <w:tblPr>
        <w:tblStyle w:val="TableGrid"/>
        <w:tblW w:w="0" w:type="auto"/>
        <w:tblLook w:val="04A0" w:firstRow="1" w:lastRow="0" w:firstColumn="1" w:lastColumn="0" w:noHBand="0" w:noVBand="1"/>
      </w:tblPr>
      <w:tblGrid>
        <w:gridCol w:w="9576"/>
      </w:tblGrid>
      <w:tr w:rsidR="00865E8C" w14:paraId="0541D762" w14:textId="77777777" w:rsidTr="00A55EAB">
        <w:tc>
          <w:tcPr>
            <w:tcW w:w="9576" w:type="dxa"/>
            <w:tcBorders>
              <w:top w:val="nil"/>
              <w:left w:val="nil"/>
              <w:bottom w:val="nil"/>
              <w:right w:val="nil"/>
            </w:tcBorders>
            <w:shd w:val="clear" w:color="auto" w:fill="DAE9F7" w:themeFill="text2" w:themeFillTint="1A"/>
          </w:tcPr>
          <w:p w14:paraId="08E4B823" w14:textId="77777777" w:rsidR="00865E8C" w:rsidRPr="00865E8C" w:rsidRDefault="00865E8C" w:rsidP="002856CE">
            <w:pPr>
              <w:pStyle w:val="Heading1"/>
              <w:spacing w:before="0"/>
            </w:pPr>
            <w:bookmarkStart w:id="0" w:name="_Toc200963464"/>
            <w:r w:rsidRPr="00865E8C">
              <w:lastRenderedPageBreak/>
              <w:t>Key insights</w:t>
            </w:r>
            <w:bookmarkEnd w:id="0"/>
          </w:p>
          <w:p w14:paraId="4978BE94" w14:textId="3078292D" w:rsidR="00865E8C" w:rsidRDefault="00280778" w:rsidP="00865E8C">
            <w:pPr>
              <w:contextualSpacing/>
            </w:pPr>
            <w:r>
              <w:t xml:space="preserve">Prior OPA research found that </w:t>
            </w:r>
            <w:r w:rsidR="00843D45">
              <w:t>t</w:t>
            </w:r>
            <w:r w:rsidR="00865E8C" w:rsidRPr="00865E8C">
              <w:t>he average time people were subject to guardianshi</w:t>
            </w:r>
            <w:r w:rsidR="00843D45">
              <w:t>p</w:t>
            </w:r>
            <w:r w:rsidR="00865E8C">
              <w:t xml:space="preserve"> </w:t>
            </w:r>
            <w:r w:rsidR="00865E8C" w:rsidRPr="00865E8C">
              <w:t>increased from 19 months in 2010</w:t>
            </w:r>
            <w:r w:rsidR="00865E8C">
              <w:t>/</w:t>
            </w:r>
            <w:r w:rsidR="00865E8C" w:rsidRPr="00865E8C">
              <w:t>11 to 24 months in 2019</w:t>
            </w:r>
            <w:r w:rsidR="00865E8C">
              <w:t>/</w:t>
            </w:r>
            <w:r w:rsidR="00865E8C" w:rsidRPr="00865E8C">
              <w:t xml:space="preserve">20. This increase was predominantly driven by an increase in the average time younger people </w:t>
            </w:r>
            <w:r w:rsidR="00A9327A">
              <w:t>(aged 18</w:t>
            </w:r>
            <w:r w:rsidR="00DF2B16" w:rsidRPr="00865E8C">
              <w:t>–</w:t>
            </w:r>
            <w:r w:rsidR="00A9327A">
              <w:t>6</w:t>
            </w:r>
            <w:r w:rsidR="00DE48EC">
              <w:t>4</w:t>
            </w:r>
            <w:r w:rsidR="00A9327A">
              <w:t xml:space="preserve">) </w:t>
            </w:r>
            <w:r w:rsidR="00865E8C" w:rsidRPr="00865E8C">
              <w:t>spent subject to guardianship: from 24 months in 2010/11 to 30 months in 2019/20.</w:t>
            </w:r>
          </w:p>
          <w:p w14:paraId="2B04134E" w14:textId="77777777" w:rsidR="00865E8C" w:rsidRPr="00865E8C" w:rsidRDefault="00865E8C" w:rsidP="00A55EAB">
            <w:pPr>
              <w:contextualSpacing/>
            </w:pPr>
          </w:p>
          <w:p w14:paraId="3833FF85" w14:textId="3129A370" w:rsidR="00865E8C" w:rsidRDefault="002F32AD" w:rsidP="00865E8C">
            <w:pPr>
              <w:contextualSpacing/>
            </w:pPr>
            <w:r>
              <w:t xml:space="preserve">This project </w:t>
            </w:r>
            <w:r w:rsidR="009C6D49">
              <w:t>use</w:t>
            </w:r>
            <w:r w:rsidR="00FC0576">
              <w:t>s</w:t>
            </w:r>
            <w:r w:rsidR="009C6D49">
              <w:t xml:space="preserve"> reappointment rates as a proxy for length of time </w:t>
            </w:r>
            <w:r w:rsidR="00317C04">
              <w:t>spent subject to guardianship</w:t>
            </w:r>
            <w:r w:rsidR="00EC3744">
              <w:t>:</w:t>
            </w:r>
            <w:r w:rsidR="00F2461F">
              <w:t xml:space="preserve"> the more reappointments, the longer the time</w:t>
            </w:r>
            <w:r w:rsidR="00317C04">
              <w:t xml:space="preserve">. </w:t>
            </w:r>
            <w:r w:rsidR="00865E8C" w:rsidRPr="00865E8C">
              <w:t xml:space="preserve">The </w:t>
            </w:r>
            <w:r w:rsidR="000C70CF">
              <w:t xml:space="preserve">guardianship </w:t>
            </w:r>
            <w:r w:rsidR="00865E8C" w:rsidRPr="00865E8C">
              <w:t>reap</w:t>
            </w:r>
            <w:r w:rsidR="00865E8C">
              <w:t>p</w:t>
            </w:r>
            <w:r w:rsidR="00865E8C" w:rsidRPr="00865E8C">
              <w:t xml:space="preserve">ointment rate </w:t>
            </w:r>
            <w:r w:rsidR="000C70CF">
              <w:t xml:space="preserve">is </w:t>
            </w:r>
            <w:r w:rsidR="000C70CF" w:rsidRPr="00865E8C">
              <w:t xml:space="preserve">the proportion of guardianship orders </w:t>
            </w:r>
            <w:proofErr w:type="gramStart"/>
            <w:r w:rsidR="000C70CF" w:rsidRPr="00865E8C">
              <w:t>in a given year</w:t>
            </w:r>
            <w:proofErr w:type="gramEnd"/>
            <w:r w:rsidR="000C70CF" w:rsidRPr="00865E8C">
              <w:t xml:space="preserve"> </w:t>
            </w:r>
            <w:r w:rsidR="0065658A">
              <w:t xml:space="preserve">in </w:t>
            </w:r>
            <w:r w:rsidR="000C70CF" w:rsidRPr="00865E8C">
              <w:t>which an existing order</w:t>
            </w:r>
            <w:r w:rsidR="0065658A">
              <w:t xml:space="preserve"> was continued when reassessed</w:t>
            </w:r>
            <w:r w:rsidR="000C70CF">
              <w:t>. F</w:t>
            </w:r>
            <w:r w:rsidR="00865E8C" w:rsidRPr="00865E8C">
              <w:t xml:space="preserve">or people </w:t>
            </w:r>
            <w:r w:rsidR="00D11A66">
              <w:t xml:space="preserve">aged </w:t>
            </w:r>
            <w:r w:rsidR="00865E8C" w:rsidRPr="00865E8C">
              <w:t>under 65</w:t>
            </w:r>
            <w:r w:rsidR="000C70CF">
              <w:t>, the reappointment rate</w:t>
            </w:r>
            <w:r w:rsidR="00865E8C" w:rsidRPr="00865E8C">
              <w:t xml:space="preserve"> </w:t>
            </w:r>
            <w:r w:rsidR="00865E8C">
              <w:t xml:space="preserve">has </w:t>
            </w:r>
            <w:r w:rsidR="00865E8C" w:rsidRPr="00865E8C">
              <w:t>climb</w:t>
            </w:r>
            <w:r w:rsidR="00865E8C">
              <w:t>ed</w:t>
            </w:r>
            <w:r w:rsidR="00865E8C" w:rsidRPr="00865E8C">
              <w:t xml:space="preserve"> </w:t>
            </w:r>
            <w:r w:rsidR="00C93858">
              <w:t>from approx</w:t>
            </w:r>
            <w:r w:rsidR="00FD7815">
              <w:t>imately</w:t>
            </w:r>
            <w:r w:rsidR="00C93858">
              <w:t xml:space="preserve"> </w:t>
            </w:r>
            <w:r w:rsidR="006D71A3" w:rsidRPr="00865E8C">
              <w:t>34 per cent</w:t>
            </w:r>
            <w:r w:rsidR="006D71A3">
              <w:t xml:space="preserve"> during </w:t>
            </w:r>
            <w:r w:rsidR="005122A4">
              <w:t>the period 2010</w:t>
            </w:r>
            <w:r w:rsidR="00DF2B16" w:rsidRPr="00865E8C">
              <w:t>–</w:t>
            </w:r>
            <w:r w:rsidR="005122A4">
              <w:t>2016</w:t>
            </w:r>
            <w:r w:rsidR="006D71A3" w:rsidRPr="00865E8C">
              <w:t xml:space="preserve"> </w:t>
            </w:r>
            <w:r w:rsidR="00865E8C" w:rsidRPr="00865E8C">
              <w:t>to more than 50 per cent since 2020. This increase coincides with the roll-out of the NDIS in Victoria.</w:t>
            </w:r>
          </w:p>
          <w:p w14:paraId="5F1652A0" w14:textId="77777777" w:rsidR="00865E8C" w:rsidRPr="00865E8C" w:rsidRDefault="00865E8C" w:rsidP="00A55EAB">
            <w:pPr>
              <w:contextualSpacing/>
            </w:pPr>
          </w:p>
          <w:p w14:paraId="3DDE5D4B" w14:textId="308E044B" w:rsidR="00865E8C" w:rsidRDefault="00865E8C" w:rsidP="00865E8C">
            <w:pPr>
              <w:contextualSpacing/>
            </w:pPr>
            <w:r w:rsidRPr="00865E8C">
              <w:t xml:space="preserve">Since 2010, the reappointment rate for people </w:t>
            </w:r>
            <w:r w:rsidR="003D729F">
              <w:t xml:space="preserve">aged </w:t>
            </w:r>
            <w:r w:rsidRPr="00865E8C">
              <w:t xml:space="preserve">over 65 has </w:t>
            </w:r>
            <w:r>
              <w:t>remained</w:t>
            </w:r>
            <w:r w:rsidRPr="00865E8C">
              <w:t xml:space="preserve"> between 20 and 26 per cent with no upward trend indicated.</w:t>
            </w:r>
          </w:p>
          <w:p w14:paraId="2C8EB63B" w14:textId="77777777" w:rsidR="00865E8C" w:rsidRPr="00865E8C" w:rsidRDefault="00865E8C" w:rsidP="00A55EAB">
            <w:pPr>
              <w:contextualSpacing/>
            </w:pPr>
          </w:p>
          <w:p w14:paraId="16ADE722" w14:textId="30B681C8" w:rsidR="00865E8C" w:rsidRDefault="00865E8C" w:rsidP="00865E8C">
            <w:pPr>
              <w:contextualSpacing/>
            </w:pPr>
            <w:r w:rsidRPr="00865E8C">
              <w:t>Younger people are far more likely to be subject to multiple guardianship orders than other OPA clients. More than 80 per cent of people who had been subject to at least 3 orders were aged 18–6</w:t>
            </w:r>
            <w:r w:rsidR="00522643">
              <w:t>4</w:t>
            </w:r>
            <w:r w:rsidRPr="00865E8C">
              <w:t>.</w:t>
            </w:r>
          </w:p>
          <w:p w14:paraId="4654E2E0" w14:textId="77777777" w:rsidR="00865E8C" w:rsidRPr="00865E8C" w:rsidRDefault="00865E8C" w:rsidP="00A55EAB">
            <w:pPr>
              <w:contextualSpacing/>
            </w:pPr>
          </w:p>
          <w:p w14:paraId="3D2747E9" w14:textId="649D9EEF" w:rsidR="00865E8C" w:rsidRPr="00865E8C" w:rsidRDefault="00865E8C" w:rsidP="00A55EAB">
            <w:pPr>
              <w:spacing w:after="160"/>
              <w:contextualSpacing/>
            </w:pPr>
            <w:r w:rsidRPr="00865E8C">
              <w:t>Regardless of age group, people with the disability types of intellectual disability and/or psych</w:t>
            </w:r>
            <w:r w:rsidR="00E03BB9">
              <w:t>o</w:t>
            </w:r>
            <w:r w:rsidR="00B2679E">
              <w:t>social</w:t>
            </w:r>
            <w:r w:rsidRPr="00865E8C">
              <w:t xml:space="preserve"> disability are more likely to be subject to multiple guardianship orders than other people.</w:t>
            </w:r>
          </w:p>
          <w:p w14:paraId="4F1C2199" w14:textId="77777777" w:rsidR="00865E8C" w:rsidRDefault="00865E8C" w:rsidP="00A55EAB">
            <w:pPr>
              <w:ind w:left="720"/>
              <w:contextualSpacing/>
            </w:pPr>
          </w:p>
        </w:tc>
      </w:tr>
    </w:tbl>
    <w:p w14:paraId="4C1DFED1" w14:textId="510EA0A8" w:rsidR="00C12B54" w:rsidRDefault="00C12B54" w:rsidP="00C12B54">
      <w:pPr>
        <w:pStyle w:val="Heading1"/>
      </w:pPr>
      <w:bookmarkStart w:id="1" w:name="_Toc200963465"/>
      <w:r>
        <w:t>Introduction</w:t>
      </w:r>
      <w:bookmarkEnd w:id="1"/>
    </w:p>
    <w:p w14:paraId="572185DB" w14:textId="0B942302" w:rsidR="00062A6A" w:rsidRDefault="00062A6A" w:rsidP="00062A6A">
      <w:r>
        <w:t xml:space="preserve">Guardianship limits decision-making rights for the purpose of protecting other human rights. To mitigate this imposition, </w:t>
      </w:r>
      <w:r w:rsidR="0081734A">
        <w:t>two important safeguards should be enacted</w:t>
      </w:r>
      <w:r w:rsidR="009B745D">
        <w:t>:</w:t>
      </w:r>
      <w:r w:rsidR="0081734A">
        <w:t xml:space="preserve"> i) that all guardianship </w:t>
      </w:r>
      <w:r w:rsidR="007374DF">
        <w:t xml:space="preserve">appointments </w:t>
      </w:r>
      <w:r w:rsidR="00C066D1">
        <w:t>are time-limited</w:t>
      </w:r>
      <w:r w:rsidR="00395514">
        <w:t>,</w:t>
      </w:r>
      <w:r w:rsidR="00C066D1">
        <w:t xml:space="preserve"> and ii) </w:t>
      </w:r>
      <w:r w:rsidR="009011DD">
        <w:t xml:space="preserve">that the </w:t>
      </w:r>
      <w:r w:rsidR="00C355AE">
        <w:t>g</w:t>
      </w:r>
      <w:r>
        <w:t xml:space="preserve">uardian’s powers should impose the least restrictive measures on decision-making rights as are justified by the circumstances. </w:t>
      </w:r>
    </w:p>
    <w:p w14:paraId="44DA101D" w14:textId="6F0EBCB9" w:rsidR="001E6BC9" w:rsidRDefault="00D57BF0" w:rsidP="00062A6A">
      <w:r>
        <w:t xml:space="preserve">In Victoria, ‘best interests’ </w:t>
      </w:r>
      <w:r w:rsidR="00E1002D">
        <w:t xml:space="preserve">guardianship </w:t>
      </w:r>
      <w:r w:rsidR="00E9737A">
        <w:t>decision-making</w:t>
      </w:r>
      <w:r>
        <w:t xml:space="preserve"> </w:t>
      </w:r>
      <w:r w:rsidR="000C5A07">
        <w:t>was</w:t>
      </w:r>
      <w:r>
        <w:t xml:space="preserve"> repealed with the enactment of the </w:t>
      </w:r>
      <w:r w:rsidRPr="00720FCE">
        <w:rPr>
          <w:i/>
        </w:rPr>
        <w:t>Guardianship and Administration Act 2019</w:t>
      </w:r>
      <w:r>
        <w:t xml:space="preserve"> (Vic) </w:t>
      </w:r>
      <w:r w:rsidR="00A93B3D">
        <w:t>(the Act)</w:t>
      </w:r>
      <w:r w:rsidR="009239D5">
        <w:t>.</w:t>
      </w:r>
      <w:r w:rsidR="0070250A">
        <w:t xml:space="preserve"> Now,</w:t>
      </w:r>
      <w:r w:rsidR="000259CB">
        <w:t xml:space="preserve"> </w:t>
      </w:r>
      <w:r w:rsidR="00D67425">
        <w:t xml:space="preserve">understanding </w:t>
      </w:r>
      <w:r w:rsidR="000259CB">
        <w:t xml:space="preserve">the person’s </w:t>
      </w:r>
      <w:r w:rsidR="00B13FF1">
        <w:t>‘</w:t>
      </w:r>
      <w:r w:rsidR="000259CB">
        <w:t>will and preferences</w:t>
      </w:r>
      <w:r w:rsidR="00B13FF1">
        <w:t>’</w:t>
      </w:r>
      <w:r w:rsidR="000259CB">
        <w:t xml:space="preserve"> </w:t>
      </w:r>
      <w:r w:rsidR="0094387B">
        <w:t>drives</w:t>
      </w:r>
      <w:r w:rsidR="000259CB">
        <w:t xml:space="preserve"> </w:t>
      </w:r>
      <w:r w:rsidR="00E9737A">
        <w:t>decision-making</w:t>
      </w:r>
      <w:r w:rsidR="00F53DA8">
        <w:t xml:space="preserve"> wherever possible</w:t>
      </w:r>
      <w:r w:rsidR="006D0E84">
        <w:t>:</w:t>
      </w:r>
      <w:r w:rsidR="00B13FF1">
        <w:t xml:space="preserve"> </w:t>
      </w:r>
      <w:r w:rsidR="00EB63AE">
        <w:t>a</w:t>
      </w:r>
      <w:r w:rsidR="00BF1A7A">
        <w:t xml:space="preserve">n intentional </w:t>
      </w:r>
      <w:r w:rsidR="00042FE1">
        <w:t>reference</w:t>
      </w:r>
      <w:r w:rsidR="00BF1A7A">
        <w:t xml:space="preserve"> to Article 12 of</w:t>
      </w:r>
      <w:r w:rsidR="00042FE1">
        <w:t xml:space="preserve"> the United Nations Convention on the Rights of People with Disability</w:t>
      </w:r>
      <w:r w:rsidR="00BF1A7A">
        <w:t xml:space="preserve">. </w:t>
      </w:r>
    </w:p>
    <w:p w14:paraId="73D2EACA" w14:textId="047D4DC6" w:rsidR="003312F4" w:rsidRDefault="0077563D" w:rsidP="007657F2">
      <w:r>
        <w:t>Th</w:t>
      </w:r>
      <w:r w:rsidR="00074872">
        <w:t xml:space="preserve">e genesis of this </w:t>
      </w:r>
      <w:r w:rsidR="00DA64A9">
        <w:t>r</w:t>
      </w:r>
      <w:r w:rsidR="00C744D0">
        <w:t>eport</w:t>
      </w:r>
      <w:r>
        <w:t xml:space="preserve"> </w:t>
      </w:r>
      <w:r w:rsidR="00074872">
        <w:t>was</w:t>
      </w:r>
      <w:r>
        <w:t xml:space="preserve"> </w:t>
      </w:r>
      <w:r w:rsidR="009E012A">
        <w:t xml:space="preserve">curiosity </w:t>
      </w:r>
      <w:r w:rsidR="00DD0615">
        <w:t xml:space="preserve">regarding the </w:t>
      </w:r>
      <w:r w:rsidR="009565F5">
        <w:t xml:space="preserve">increase in </w:t>
      </w:r>
      <w:r w:rsidR="004D3103">
        <w:t>guardianship reappointments</w:t>
      </w:r>
      <w:r w:rsidR="00B23D31">
        <w:t xml:space="preserve"> </w:t>
      </w:r>
      <w:r w:rsidR="00762726">
        <w:t>–</w:t>
      </w:r>
      <w:r w:rsidR="009D1602">
        <w:t xml:space="preserve"> a</w:t>
      </w:r>
      <w:r w:rsidR="00E16B85">
        <w:t>n</w:t>
      </w:r>
      <w:r w:rsidR="009D1602" w:rsidRPr="00080882">
        <w:t xml:space="preserve"> outcome</w:t>
      </w:r>
      <w:r>
        <w:t xml:space="preserve"> </w:t>
      </w:r>
      <w:r w:rsidR="002F1DAF">
        <w:t>at odds with</w:t>
      </w:r>
      <w:r w:rsidR="007216DC">
        <w:t xml:space="preserve"> </w:t>
      </w:r>
      <w:r w:rsidR="00C318A2">
        <w:t>the focus on</w:t>
      </w:r>
      <w:r w:rsidR="00FF7ED1">
        <w:t xml:space="preserve"> </w:t>
      </w:r>
      <w:r w:rsidR="003A4E63">
        <w:t xml:space="preserve">the </w:t>
      </w:r>
      <w:r w:rsidR="00FF7ED1">
        <w:t>dec</w:t>
      </w:r>
      <w:r w:rsidR="008528C4">
        <w:t xml:space="preserve">ision-making </w:t>
      </w:r>
      <w:r w:rsidR="00590B77">
        <w:t xml:space="preserve">rights of </w:t>
      </w:r>
      <w:r w:rsidR="00FF7ED1">
        <w:t>people with cognitive impairment</w:t>
      </w:r>
      <w:r w:rsidR="00C51F21">
        <w:t xml:space="preserve"> evidenced in</w:t>
      </w:r>
      <w:r w:rsidR="00640E10">
        <w:t xml:space="preserve"> the Act</w:t>
      </w:r>
      <w:r w:rsidR="001D2812">
        <w:t>,</w:t>
      </w:r>
      <w:r w:rsidR="00640E10">
        <w:t xml:space="preserve"> and other</w:t>
      </w:r>
      <w:r>
        <w:t xml:space="preserve"> </w:t>
      </w:r>
      <w:r w:rsidR="00FD7D02">
        <w:t xml:space="preserve">progressive national and </w:t>
      </w:r>
      <w:r w:rsidR="000F1532">
        <w:t>state</w:t>
      </w:r>
      <w:r w:rsidR="00FD7D02">
        <w:t xml:space="preserve"> reforms</w:t>
      </w:r>
      <w:r w:rsidR="00802D09">
        <w:t xml:space="preserve"> introduced in the same period.</w:t>
      </w:r>
    </w:p>
    <w:p w14:paraId="75509F5A" w14:textId="325AFDAE" w:rsidR="00C12B54" w:rsidRDefault="00062A6A" w:rsidP="00C12B54">
      <w:r>
        <w:t xml:space="preserve">Information </w:t>
      </w:r>
      <w:r w:rsidR="00C12B54" w:rsidRPr="52D60A89">
        <w:t>published about people subject to guardianship do</w:t>
      </w:r>
      <w:r>
        <w:t>es</w:t>
      </w:r>
      <w:r w:rsidR="00C12B54" w:rsidRPr="52D60A89">
        <w:t xml:space="preserve"> not</w:t>
      </w:r>
      <w:r>
        <w:t xml:space="preserve"> usually</w:t>
      </w:r>
      <w:r w:rsidR="00C12B54" w:rsidRPr="52D60A89">
        <w:t xml:space="preserve"> differentiate between the experiences of people </w:t>
      </w:r>
      <w:r w:rsidR="006913A4" w:rsidRPr="52D60A89">
        <w:t xml:space="preserve">subject to </w:t>
      </w:r>
      <w:r w:rsidR="006913A4">
        <w:t xml:space="preserve">multiple and/or </w:t>
      </w:r>
      <w:r w:rsidR="006913A4" w:rsidRPr="52D60A89">
        <w:t xml:space="preserve">consecutive orders </w:t>
      </w:r>
      <w:r w:rsidR="006913A4">
        <w:t xml:space="preserve">and those </w:t>
      </w:r>
      <w:r w:rsidR="00C12B54" w:rsidRPr="52D60A89">
        <w:t>subject to a single guardianship order (generally lasting 12 months or less</w:t>
      </w:r>
      <w:r w:rsidR="002129EE">
        <w:rPr>
          <w:rStyle w:val="FootnoteReference"/>
        </w:rPr>
        <w:footnoteReference w:id="2"/>
      </w:r>
      <w:r w:rsidR="00C12B54" w:rsidRPr="52D60A89">
        <w:t xml:space="preserve">). </w:t>
      </w:r>
      <w:r w:rsidR="00AA5A60" w:rsidRPr="52D60A89">
        <w:t xml:space="preserve">This </w:t>
      </w:r>
      <w:r w:rsidR="00AA5A60">
        <w:t xml:space="preserve">descriptive </w:t>
      </w:r>
      <w:r w:rsidR="00AA5A60" w:rsidRPr="52D60A89">
        <w:t xml:space="preserve">report </w:t>
      </w:r>
      <w:r w:rsidR="006D63C2">
        <w:t>compares</w:t>
      </w:r>
      <w:r w:rsidR="00AA5A60" w:rsidRPr="52D60A89">
        <w:t xml:space="preserve"> the characteristics of </w:t>
      </w:r>
      <w:r w:rsidR="00AA5A60">
        <w:t xml:space="preserve">these </w:t>
      </w:r>
      <w:r w:rsidR="00AA5A60" w:rsidRPr="52D60A89">
        <w:t>gro</w:t>
      </w:r>
      <w:r w:rsidR="00AA5A60">
        <w:t>ups</w:t>
      </w:r>
      <w:r w:rsidR="00AA5A60" w:rsidRPr="52D60A89">
        <w:t xml:space="preserve"> and the factors that contribute to extending a person’s time subject to guardianship.</w:t>
      </w:r>
      <w:r w:rsidR="00AA5A60">
        <w:t xml:space="preserve"> </w:t>
      </w:r>
      <w:r>
        <w:t>It</w:t>
      </w:r>
      <w:r w:rsidRPr="52D60A89">
        <w:t xml:space="preserve"> sets out what is currently known about </w:t>
      </w:r>
      <w:r w:rsidR="007374DF">
        <w:t>a</w:t>
      </w:r>
      <w:r w:rsidR="007374DF" w:rsidRPr="52D60A89">
        <w:t xml:space="preserve"> </w:t>
      </w:r>
      <w:r w:rsidRPr="52D60A89">
        <w:t xml:space="preserve">group of people who remain subject to guardianship for </w:t>
      </w:r>
      <w:r w:rsidR="007374DF">
        <w:t xml:space="preserve">multiple </w:t>
      </w:r>
      <w:r w:rsidRPr="52D60A89">
        <w:t xml:space="preserve">years </w:t>
      </w:r>
      <w:r>
        <w:t>and</w:t>
      </w:r>
      <w:r w:rsidRPr="52D60A89">
        <w:t xml:space="preserve"> provides a unique view of a population about whom very little information has </w:t>
      </w:r>
      <w:r w:rsidR="009D2375">
        <w:t xml:space="preserve">previously been in the public domain. </w:t>
      </w:r>
    </w:p>
    <w:p w14:paraId="0E1576AC" w14:textId="77777777" w:rsidR="00C12B54" w:rsidRDefault="00C12B54" w:rsidP="00C12B54">
      <w:pPr>
        <w:pStyle w:val="Heading1"/>
      </w:pPr>
      <w:bookmarkStart w:id="2" w:name="_Toc200963466"/>
      <w:r>
        <w:lastRenderedPageBreak/>
        <w:t>Background</w:t>
      </w:r>
      <w:bookmarkEnd w:id="2"/>
    </w:p>
    <w:p w14:paraId="164213FB" w14:textId="18C1B80C" w:rsidR="00885971" w:rsidRPr="00D84E64" w:rsidRDefault="00D84E64" w:rsidP="00D86A83">
      <w:pPr>
        <w:pStyle w:val="Heading3"/>
      </w:pPr>
      <w:bookmarkStart w:id="3" w:name="_Toc200963467"/>
      <w:r w:rsidRPr="00697235">
        <w:t>Convention on the Rights of Persons with Disabilities</w:t>
      </w:r>
      <w:bookmarkEnd w:id="3"/>
    </w:p>
    <w:p w14:paraId="09AAC256" w14:textId="176497F4" w:rsidR="002E69B0" w:rsidRDefault="002E69B0" w:rsidP="00626BA6">
      <w:r w:rsidRPr="002E69B0">
        <w:t xml:space="preserve">The </w:t>
      </w:r>
      <w:r w:rsidR="00307981" w:rsidRPr="009F109C">
        <w:t xml:space="preserve">United Nations </w:t>
      </w:r>
      <w:r w:rsidRPr="00243BCC">
        <w:rPr>
          <w:iCs/>
        </w:rPr>
        <w:t>Convention on the Rights of Persons with Disabilities</w:t>
      </w:r>
      <w:r w:rsidR="00443914" w:rsidRPr="00243BCC">
        <w:rPr>
          <w:iCs/>
        </w:rPr>
        <w:t xml:space="preserve"> </w:t>
      </w:r>
      <w:r w:rsidRPr="002E69B0">
        <w:t>(CRPD)</w:t>
      </w:r>
      <w:r w:rsidR="00443914">
        <w:t xml:space="preserve"> </w:t>
      </w:r>
      <w:r w:rsidRPr="002E69B0">
        <w:t xml:space="preserve">is an international human rights convention which sets out the fundamental human rights of people with disability. </w:t>
      </w:r>
      <w:r w:rsidR="009F109C" w:rsidRPr="009F109C">
        <w:t>The purpose of the CRPD is to promote, protect and ensure the full and equal enjoyment of all human rights and fundamental freedoms by all persons with disabilities, and to promote respect for their inherent dignity.</w:t>
      </w:r>
      <w:r w:rsidR="00334B87">
        <w:t xml:space="preserve"> </w:t>
      </w:r>
      <w:r w:rsidR="00705D58" w:rsidRPr="00705D58">
        <w:t>The CRPD opened for signature on 30 March 2007 and Australia became one of the original signatories</w:t>
      </w:r>
      <w:r w:rsidR="00334B87">
        <w:t>.</w:t>
      </w:r>
    </w:p>
    <w:p w14:paraId="556F6D46" w14:textId="77777777" w:rsidR="005A2FE7" w:rsidRDefault="00CD5914" w:rsidP="008B3E16">
      <w:r>
        <w:t xml:space="preserve">Most relevantly </w:t>
      </w:r>
      <w:r w:rsidR="00F872FE">
        <w:t xml:space="preserve">to the field of guardianship, </w:t>
      </w:r>
      <w:r w:rsidR="009F0587" w:rsidRPr="009F0587">
        <w:t xml:space="preserve">Article 12 of CRPD affirms the right of people with disabilities to legal capacity on an equal basis with others, advocating for supported decision-making rather than </w:t>
      </w:r>
      <w:r w:rsidR="00DE260C">
        <w:t>substitute</w:t>
      </w:r>
      <w:r w:rsidR="00E2596B">
        <w:t xml:space="preserve"> decision-making (</w:t>
      </w:r>
      <w:r w:rsidR="009F0587" w:rsidRPr="009F0587">
        <w:t>guardianship</w:t>
      </w:r>
      <w:r w:rsidR="00E2596B">
        <w:t>)</w:t>
      </w:r>
      <w:r w:rsidR="009F0587" w:rsidRPr="009F0587">
        <w:t xml:space="preserve"> as a default</w:t>
      </w:r>
      <w:r w:rsidR="0045360E">
        <w:t>.</w:t>
      </w:r>
      <w:r w:rsidR="00735E03" w:rsidRPr="00735E03">
        <w:t xml:space="preserve"> Article 12(4) of the CPRD provides that measures that relate to the exercise of legal capacity on behalf of a person with disability must respect the ‘rights, will and preferences of the person’</w:t>
      </w:r>
      <w:r w:rsidR="00AD559A">
        <w:t>.</w:t>
      </w:r>
      <w:r w:rsidR="00F43FE3">
        <w:rPr>
          <w:rStyle w:val="FootnoteReference"/>
        </w:rPr>
        <w:footnoteReference w:id="3"/>
      </w:r>
      <w:r w:rsidR="00E2596B">
        <w:t xml:space="preserve"> </w:t>
      </w:r>
    </w:p>
    <w:p w14:paraId="11D9650E" w14:textId="5A814E8E" w:rsidR="008B3E16" w:rsidRDefault="00E2596B" w:rsidP="008B3E16">
      <w:r>
        <w:t>This article influenced the deve</w:t>
      </w:r>
      <w:r w:rsidR="005A2FE7">
        <w:t xml:space="preserve">lopment of the </w:t>
      </w:r>
      <w:r w:rsidR="009C2821">
        <w:t>Act</w:t>
      </w:r>
      <w:r w:rsidR="001B5BFC">
        <w:t>.</w:t>
      </w:r>
    </w:p>
    <w:p w14:paraId="0A0410F0" w14:textId="51E4BA1A" w:rsidR="008338CF" w:rsidRPr="008B3E16" w:rsidRDefault="00442A60" w:rsidP="00D86A83">
      <w:pPr>
        <w:pStyle w:val="Heading3"/>
      </w:pPr>
      <w:bookmarkStart w:id="4" w:name="_Toc200963468"/>
      <w:r>
        <w:t>National Disability Insurance Scheme</w:t>
      </w:r>
      <w:bookmarkEnd w:id="4"/>
    </w:p>
    <w:p w14:paraId="67E01413" w14:textId="19FE8849" w:rsidR="008251C6" w:rsidRDefault="00A17512" w:rsidP="00D86A83">
      <w:r>
        <w:t>On 28</w:t>
      </w:r>
      <w:r w:rsidR="009D419A">
        <w:t xml:space="preserve"> March 2013, </w:t>
      </w:r>
      <w:r>
        <w:t xml:space="preserve">the </w:t>
      </w:r>
      <w:r w:rsidRPr="001F75CA">
        <w:rPr>
          <w:i/>
        </w:rPr>
        <w:t>National Disability Insurance Act 2013</w:t>
      </w:r>
      <w:r w:rsidR="00D862DF">
        <w:t xml:space="preserve"> </w:t>
      </w:r>
      <w:r w:rsidR="00384967">
        <w:t xml:space="preserve">(Cth) </w:t>
      </w:r>
      <w:r w:rsidR="00D862DF">
        <w:t xml:space="preserve">received Royal Assent. </w:t>
      </w:r>
      <w:r w:rsidR="008B3E16">
        <w:t>Some of t</w:t>
      </w:r>
      <w:r w:rsidR="00D862DF">
        <w:t xml:space="preserve">he objects of this Act </w:t>
      </w:r>
      <w:r w:rsidR="008251C6">
        <w:t>are to:</w:t>
      </w:r>
    </w:p>
    <w:p w14:paraId="5A1E7E49" w14:textId="77777777" w:rsidR="00A34596" w:rsidRDefault="002217CF" w:rsidP="00A55EAB">
      <w:pPr>
        <w:pStyle w:val="ListParagraph"/>
        <w:numPr>
          <w:ilvl w:val="0"/>
          <w:numId w:val="39"/>
        </w:numPr>
      </w:pPr>
      <w:r w:rsidRPr="002217CF">
        <w:t>in conjunction with other laws, give effect to Australia's obligations under the Convention on the Rights of Persons with Disabilities done at New York on 13</w:t>
      </w:r>
      <w:r w:rsidR="00851FB0">
        <w:t xml:space="preserve"> </w:t>
      </w:r>
      <w:r w:rsidRPr="002217CF">
        <w:t>December 2006</w:t>
      </w:r>
      <w:bookmarkStart w:id="5" w:name="paragraph"/>
    </w:p>
    <w:p w14:paraId="60F855C2" w14:textId="755D0083" w:rsidR="00A34596" w:rsidRDefault="002217CF" w:rsidP="00A55EAB">
      <w:pPr>
        <w:pStyle w:val="ListParagraph"/>
        <w:numPr>
          <w:ilvl w:val="0"/>
          <w:numId w:val="39"/>
        </w:numPr>
      </w:pPr>
      <w:r w:rsidRPr="002217CF">
        <w:t>support the independence and social and economic participation of people with disability</w:t>
      </w:r>
      <w:bookmarkEnd w:id="5"/>
    </w:p>
    <w:p w14:paraId="572F220F" w14:textId="664ADC75" w:rsidR="002E69B0" w:rsidRDefault="002217CF" w:rsidP="00A55EAB">
      <w:pPr>
        <w:pStyle w:val="ListParagraph"/>
        <w:numPr>
          <w:ilvl w:val="0"/>
          <w:numId w:val="39"/>
        </w:numPr>
      </w:pPr>
      <w:r w:rsidRPr="002217CF">
        <w:t>enable people with disability to exercise choice and control in the pursuit of their goals and the</w:t>
      </w:r>
      <w:r w:rsidR="008A2F34">
        <w:t xml:space="preserve"> </w:t>
      </w:r>
      <w:r w:rsidRPr="00377830">
        <w:t>planning</w:t>
      </w:r>
      <w:r w:rsidR="008A2F34">
        <w:t xml:space="preserve"> </w:t>
      </w:r>
      <w:r w:rsidRPr="002217CF">
        <w:t>and delivery of their</w:t>
      </w:r>
      <w:r w:rsidR="008A2F34">
        <w:t xml:space="preserve"> </w:t>
      </w:r>
      <w:r w:rsidRPr="00377830">
        <w:t>supports</w:t>
      </w:r>
    </w:p>
    <w:p w14:paraId="5207CF34" w14:textId="6BB29CB9" w:rsidR="00621DAE" w:rsidRDefault="00F65C85" w:rsidP="00A55EAB">
      <w:pPr>
        <w:ind w:right="-138"/>
      </w:pPr>
      <w:r>
        <w:t>In Victoria, the N</w:t>
      </w:r>
      <w:r w:rsidR="2F21B0D7">
        <w:t xml:space="preserve">ational </w:t>
      </w:r>
      <w:r>
        <w:t>D</w:t>
      </w:r>
      <w:r w:rsidR="19FED58E">
        <w:t xml:space="preserve">isability </w:t>
      </w:r>
      <w:r>
        <w:t>I</w:t>
      </w:r>
      <w:r w:rsidR="62D81CA5">
        <w:t xml:space="preserve">nsurance </w:t>
      </w:r>
      <w:r>
        <w:t>S</w:t>
      </w:r>
      <w:r w:rsidR="3B5F824D">
        <w:t>cheme</w:t>
      </w:r>
      <w:r>
        <w:t xml:space="preserve"> </w:t>
      </w:r>
      <w:r w:rsidR="54233D03">
        <w:t>(</w:t>
      </w:r>
      <w:r>
        <w:t>NDIS</w:t>
      </w:r>
      <w:r w:rsidR="54233D03">
        <w:t>)</w:t>
      </w:r>
      <w:r>
        <w:t xml:space="preserve"> commenced in 2013 with a three</w:t>
      </w:r>
      <w:r w:rsidR="00ED577C">
        <w:t>-</w:t>
      </w:r>
      <w:r>
        <w:t>year trial in the Barwon region</w:t>
      </w:r>
      <w:r w:rsidR="00ED577C">
        <w:t xml:space="preserve">. OPA </w:t>
      </w:r>
      <w:r w:rsidR="7C69A5F5">
        <w:t>became advocates for</w:t>
      </w:r>
      <w:r w:rsidR="00ED577C">
        <w:t xml:space="preserve"> </w:t>
      </w:r>
      <w:r w:rsidR="00DD13BB">
        <w:t xml:space="preserve">some of Victoria’s first participants </w:t>
      </w:r>
      <w:r w:rsidR="08BB0BE9">
        <w:t>who resided at</w:t>
      </w:r>
      <w:r w:rsidR="00DD13BB">
        <w:t xml:space="preserve"> Colanda</w:t>
      </w:r>
      <w:r w:rsidR="3226FD60">
        <w:t xml:space="preserve"> Centre, a disability accommodation institution</w:t>
      </w:r>
      <w:r w:rsidR="00300579">
        <w:t>.</w:t>
      </w:r>
      <w:r w:rsidR="006E217A">
        <w:t xml:space="preserve"> </w:t>
      </w:r>
      <w:r w:rsidR="00782340">
        <w:t xml:space="preserve">The NDIS subsequently rolled out </w:t>
      </w:r>
      <w:r w:rsidR="00AB2824">
        <w:t xml:space="preserve">in </w:t>
      </w:r>
      <w:r w:rsidR="00782340">
        <w:t>the regions of Victoria</w:t>
      </w:r>
      <w:r w:rsidR="009E191B">
        <w:t xml:space="preserve">, reaching full implementation across the state </w:t>
      </w:r>
      <w:r w:rsidR="00CC19F0">
        <w:t>on</w:t>
      </w:r>
      <w:r w:rsidR="00C11171">
        <w:t xml:space="preserve"> 1 Ju</w:t>
      </w:r>
      <w:r w:rsidR="009A5666">
        <w:t>ly 2019</w:t>
      </w:r>
      <w:r w:rsidR="009E191B">
        <w:t>.</w:t>
      </w:r>
      <w:r w:rsidR="009A5666">
        <w:rPr>
          <w:rStyle w:val="FootnoteReference"/>
        </w:rPr>
        <w:footnoteReference w:id="4"/>
      </w:r>
    </w:p>
    <w:p w14:paraId="7D1C71A9" w14:textId="50EC4B2D" w:rsidR="000D2077" w:rsidRDefault="00BD6B68" w:rsidP="00F65C85">
      <w:r>
        <w:t>G</w:t>
      </w:r>
      <w:r w:rsidR="00E17098">
        <w:t xml:space="preserve">raph </w:t>
      </w:r>
      <w:r>
        <w:t>1</w:t>
      </w:r>
      <w:r w:rsidR="00E17098">
        <w:t xml:space="preserve"> shows a rapid increase in participant numbers</w:t>
      </w:r>
      <w:r w:rsidR="00FC4A5B">
        <w:t xml:space="preserve"> starting from 10,000 </w:t>
      </w:r>
      <w:r w:rsidR="009237F7">
        <w:t xml:space="preserve">people in </w:t>
      </w:r>
      <w:r w:rsidR="00C5601B">
        <w:t>July</w:t>
      </w:r>
      <w:r w:rsidR="009237F7">
        <w:t xml:space="preserve"> 2017 to </w:t>
      </w:r>
      <w:r w:rsidR="00854DE1">
        <w:t>around 55,000 participants (</w:t>
      </w:r>
      <w:r w:rsidR="006913A4">
        <w:t xml:space="preserve">aged </w:t>
      </w:r>
      <w:r w:rsidR="00854DE1">
        <w:t xml:space="preserve">under 65) in </w:t>
      </w:r>
      <w:r w:rsidR="00C5601B">
        <w:t>July 2020.</w:t>
      </w:r>
      <w:r w:rsidR="009C528E">
        <w:t xml:space="preserve"> The rate of increase of participants </w:t>
      </w:r>
      <w:r w:rsidR="006913A4">
        <w:t xml:space="preserve">aged </w:t>
      </w:r>
      <w:r w:rsidR="009C528E">
        <w:t>under 65</w:t>
      </w:r>
      <w:r w:rsidR="00371CAB">
        <w:t xml:space="preserve"> has</w:t>
      </w:r>
      <w:r w:rsidR="00EB5506">
        <w:t xml:space="preserve"> since</w:t>
      </w:r>
      <w:r w:rsidR="00371CAB">
        <w:t xml:space="preserve"> </w:t>
      </w:r>
      <w:r w:rsidR="00212E10">
        <w:t>slowed by more than half</w:t>
      </w:r>
      <w:r w:rsidR="00FF0B89">
        <w:t xml:space="preserve"> (and continues to slow).</w:t>
      </w:r>
    </w:p>
    <w:p w14:paraId="62ACC3B8" w14:textId="77777777" w:rsidR="00226383" w:rsidRDefault="00FA6808" w:rsidP="00A55EAB">
      <w:pPr>
        <w:spacing w:after="0"/>
        <w:jc w:val="center"/>
        <w:rPr>
          <w:b/>
          <w:bCs/>
          <w:sz w:val="20"/>
          <w:szCs w:val="20"/>
        </w:rPr>
      </w:pPr>
      <w:r>
        <w:rPr>
          <w:noProof/>
        </w:rPr>
        <w:drawing>
          <wp:inline distT="0" distB="0" distL="0" distR="0" wp14:anchorId="151BB50D" wp14:editId="75F67022">
            <wp:extent cx="4933950" cy="1765300"/>
            <wp:effectExtent l="0" t="0" r="0" b="0"/>
            <wp:docPr id="124821620" name="Chart 1">
              <a:extLst xmlns:a="http://schemas.openxmlformats.org/drawingml/2006/main">
                <a:ext uri="{FF2B5EF4-FFF2-40B4-BE49-F238E27FC236}">
                  <a16:creationId xmlns:a16="http://schemas.microsoft.com/office/drawing/2014/main" id="{1C951F92-5005-DCAE-D749-2FD5CEA1C7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2A6E77" w:rsidRPr="002A6E77">
        <w:rPr>
          <w:b/>
          <w:bCs/>
          <w:sz w:val="20"/>
          <w:szCs w:val="20"/>
        </w:rPr>
        <w:t xml:space="preserve"> </w:t>
      </w:r>
    </w:p>
    <w:p w14:paraId="2CDE0FF3" w14:textId="08BB315A" w:rsidR="002A6E77" w:rsidRPr="00A57BD4" w:rsidRDefault="002A6E77" w:rsidP="00A55EAB">
      <w:pPr>
        <w:spacing w:after="0"/>
        <w:jc w:val="center"/>
      </w:pPr>
      <w:r w:rsidRPr="00821189">
        <w:rPr>
          <w:b/>
          <w:bCs/>
          <w:sz w:val="20"/>
          <w:szCs w:val="20"/>
        </w:rPr>
        <w:t>Graph 1</w:t>
      </w:r>
      <w:r w:rsidRPr="00A57BD4">
        <w:rPr>
          <w:b/>
          <w:bCs/>
          <w:sz w:val="20"/>
          <w:szCs w:val="20"/>
        </w:rPr>
        <w:t>:</w:t>
      </w:r>
      <w:r w:rsidRPr="00A57BD4">
        <w:rPr>
          <w:sz w:val="20"/>
          <w:szCs w:val="20"/>
        </w:rPr>
        <w:t xml:space="preserve"> </w:t>
      </w:r>
      <w:r w:rsidR="00375A74" w:rsidRPr="00A57BD4">
        <w:rPr>
          <w:sz w:val="20"/>
          <w:szCs w:val="20"/>
        </w:rPr>
        <w:t>NDIS participant numbers</w:t>
      </w:r>
      <w:r w:rsidR="00B3169B">
        <w:rPr>
          <w:sz w:val="20"/>
          <w:szCs w:val="20"/>
        </w:rPr>
        <w:t xml:space="preserve"> July 2017</w:t>
      </w:r>
      <w:r w:rsidR="00EA466C" w:rsidRPr="00865E8C">
        <w:t>–</w:t>
      </w:r>
      <w:r w:rsidR="00B3169B">
        <w:rPr>
          <w:sz w:val="20"/>
          <w:szCs w:val="20"/>
        </w:rPr>
        <w:t>July 2024</w:t>
      </w:r>
    </w:p>
    <w:p w14:paraId="68764F44" w14:textId="2A103FB5" w:rsidR="00C12B54" w:rsidRDefault="00854116" w:rsidP="000F39C2">
      <w:pPr>
        <w:pStyle w:val="Heading3"/>
      </w:pPr>
      <w:bookmarkStart w:id="6" w:name="_Toc200963469"/>
      <w:r>
        <w:lastRenderedPageBreak/>
        <w:t>Legislative change</w:t>
      </w:r>
      <w:bookmarkEnd w:id="6"/>
    </w:p>
    <w:p w14:paraId="3244FFAE" w14:textId="1060FF92" w:rsidR="00CC19F0" w:rsidRDefault="00BB7490" w:rsidP="00C12B54">
      <w:r>
        <w:t xml:space="preserve">On 1 March 2020, </w:t>
      </w:r>
      <w:r w:rsidR="00854116" w:rsidRPr="52D60A89">
        <w:t xml:space="preserve">the </w:t>
      </w:r>
      <w:r w:rsidR="00F91492" w:rsidRPr="002F60F1">
        <w:rPr>
          <w:i/>
          <w:iCs/>
        </w:rPr>
        <w:t xml:space="preserve">Guardianship and Administration </w:t>
      </w:r>
      <w:r w:rsidR="00F91492">
        <w:rPr>
          <w:i/>
          <w:iCs/>
        </w:rPr>
        <w:t xml:space="preserve">Act 2019 </w:t>
      </w:r>
      <w:r w:rsidR="5E4E1EB5">
        <w:t>came into effect, replacing</w:t>
      </w:r>
      <w:r w:rsidR="00576D9F">
        <w:t xml:space="preserve"> the </w:t>
      </w:r>
      <w:r w:rsidR="00BE1E62" w:rsidRPr="002F60F1">
        <w:rPr>
          <w:i/>
          <w:iCs/>
        </w:rPr>
        <w:t>Guardianship and Administration Act 1986</w:t>
      </w:r>
      <w:r w:rsidR="00BE1E62">
        <w:t xml:space="preserve"> (Vic)</w:t>
      </w:r>
      <w:r w:rsidR="008D3F44">
        <w:t>.</w:t>
      </w:r>
    </w:p>
    <w:p w14:paraId="47949663" w14:textId="74394E84" w:rsidR="0014474D" w:rsidRDefault="0014474D" w:rsidP="00C12B54">
      <w:r w:rsidRPr="00A81E1D">
        <w:t>The Act’s primary object</w:t>
      </w:r>
      <w:r w:rsidR="00011540">
        <w:t>s</w:t>
      </w:r>
      <w:r w:rsidRPr="00A81E1D">
        <w:t xml:space="preserve"> include to ‘protect and promote the human rights and dignity of persons with a disability by having regard to the Convention on the Rights of Persons with Disabilities, recognising the need to support persons with a disability to make, participate in and implement decisions that affect their lives’</w:t>
      </w:r>
      <w:r>
        <w:t>.</w:t>
      </w:r>
      <w:r w:rsidR="00A27E0B">
        <w:rPr>
          <w:rStyle w:val="FootnoteReference"/>
        </w:rPr>
        <w:footnoteReference w:id="5"/>
      </w:r>
    </w:p>
    <w:p w14:paraId="44CC93A6" w14:textId="20DAD2FD" w:rsidR="008879E4" w:rsidRDefault="008879E4" w:rsidP="008879E4">
      <w:r w:rsidRPr="008879E4">
        <w:t>The Victorian Government described the</w:t>
      </w:r>
      <w:r w:rsidR="007E7206">
        <w:t xml:space="preserve"> </w:t>
      </w:r>
      <w:r w:rsidRPr="008879E4">
        <w:t>Act as representing a ‘milestone’ in the way Victoria upholds the rights and meets the needs of people with disability.</w:t>
      </w:r>
      <w:r w:rsidR="00FA1D7C">
        <w:rPr>
          <w:rStyle w:val="FootnoteReference"/>
        </w:rPr>
        <w:footnoteReference w:id="6"/>
      </w:r>
    </w:p>
    <w:p w14:paraId="774922CA" w14:textId="1368602A" w:rsidR="008879E4" w:rsidRPr="008879E4" w:rsidRDefault="007E7206" w:rsidP="008879E4">
      <w:r>
        <w:t>Among other things, it</w:t>
      </w:r>
      <w:r w:rsidR="000B4A0D">
        <w:t xml:space="preserve"> </w:t>
      </w:r>
      <w:r w:rsidR="000B0596">
        <w:t xml:space="preserve">is </w:t>
      </w:r>
      <w:r w:rsidR="000B4A0D">
        <w:t>intended</w:t>
      </w:r>
      <w:r w:rsidR="008879E4" w:rsidRPr="008879E4">
        <w:t xml:space="preserve"> to:</w:t>
      </w:r>
    </w:p>
    <w:p w14:paraId="062D2B8D" w14:textId="05DCE4FE" w:rsidR="008879E4" w:rsidRDefault="005B4ECF" w:rsidP="00A55EAB">
      <w:pPr>
        <w:pStyle w:val="ListParagraph"/>
        <w:numPr>
          <w:ilvl w:val="0"/>
          <w:numId w:val="38"/>
        </w:numPr>
      </w:pPr>
      <w:r>
        <w:t>S</w:t>
      </w:r>
      <w:r w:rsidR="008879E4" w:rsidRPr="008879E4">
        <w:t>trike a balance between competing rights — recognising the right of people with disability to make their own decisions while ensuring there are mechanisms for protection when needed.</w:t>
      </w:r>
    </w:p>
    <w:p w14:paraId="1DCF6013" w14:textId="77777777" w:rsidR="008879E4" w:rsidRDefault="008879E4" w:rsidP="00A55EAB">
      <w:pPr>
        <w:pStyle w:val="ListParagraph"/>
        <w:numPr>
          <w:ilvl w:val="0"/>
          <w:numId w:val="38"/>
        </w:numPr>
      </w:pPr>
      <w:r w:rsidRPr="008879E4">
        <w:t>Ensure will and preferences direct decisions as far as possible — with the person’s will and preferences only able to be overridden where it is necessary to do so to prevent serious harm to them.</w:t>
      </w:r>
    </w:p>
    <w:p w14:paraId="21200B4B" w14:textId="77777777" w:rsidR="008879E4" w:rsidRDefault="008879E4" w:rsidP="00A55EAB">
      <w:pPr>
        <w:pStyle w:val="ListParagraph"/>
        <w:numPr>
          <w:ilvl w:val="0"/>
          <w:numId w:val="38"/>
        </w:numPr>
      </w:pPr>
      <w:r w:rsidRPr="008879E4">
        <w:t>Prevent unnecessary intrusions on the right to make decisions — with the definition of decision-making capacity intended to promote each person’s right to recognition and equality before the law.</w:t>
      </w:r>
    </w:p>
    <w:p w14:paraId="1D1D20A7" w14:textId="77777777" w:rsidR="008879E4" w:rsidRDefault="008879E4" w:rsidP="00A55EAB">
      <w:pPr>
        <w:pStyle w:val="ListParagraph"/>
        <w:numPr>
          <w:ilvl w:val="0"/>
          <w:numId w:val="38"/>
        </w:numPr>
      </w:pPr>
      <w:r w:rsidRPr="008879E4">
        <w:t>Recognise supported decision-making — with the Victorian Civil and Administrative Tribunal (VCAT) able to make supportive guardianship appointments for people to have someone appointed to support them to make and give effect to their own decisions.</w:t>
      </w:r>
    </w:p>
    <w:p w14:paraId="4A907E20" w14:textId="6E48D227" w:rsidR="00DF620D" w:rsidRPr="008879E4" w:rsidRDefault="00DF620D" w:rsidP="00DF620D">
      <w:pPr>
        <w:tabs>
          <w:tab w:val="num" w:pos="720"/>
        </w:tabs>
      </w:pPr>
      <w:r>
        <w:t xml:space="preserve">These elements </w:t>
      </w:r>
      <w:r w:rsidR="00C94FE8">
        <w:t xml:space="preserve">are designed to </w:t>
      </w:r>
      <w:r w:rsidR="006816A8">
        <w:t xml:space="preserve">promote the person’s autonomy </w:t>
      </w:r>
      <w:r w:rsidR="00C94FE8">
        <w:t>as far as possible</w:t>
      </w:r>
      <w:r w:rsidR="00B87771">
        <w:t>, leaving behind the previous ‘best interests’ paradigm of substitute decision-making.</w:t>
      </w:r>
    </w:p>
    <w:p w14:paraId="5725A838" w14:textId="55860CEC" w:rsidR="000B4A0D" w:rsidRDefault="00E23351" w:rsidP="000B4A0D">
      <w:pPr>
        <w:pStyle w:val="Heading3"/>
      </w:pPr>
      <w:bookmarkStart w:id="7" w:name="_Toc200963470"/>
      <w:r>
        <w:t>L</w:t>
      </w:r>
      <w:r w:rsidR="000B4A0D">
        <w:t>egislative criteria for the appointment of a guardian</w:t>
      </w:r>
      <w:bookmarkEnd w:id="7"/>
    </w:p>
    <w:p w14:paraId="1DCBD90B" w14:textId="2D281116" w:rsidR="00C12B54" w:rsidRDefault="00C12B54" w:rsidP="00C12B54">
      <w:r w:rsidRPr="52D60A89">
        <w:t xml:space="preserve">For an adult to be subject to guardianship in Victoria, an application for guardianship must be made to </w:t>
      </w:r>
      <w:r w:rsidR="000B0596">
        <w:t>VCAT</w:t>
      </w:r>
      <w:r w:rsidRPr="52D60A89">
        <w:t xml:space="preserve">. VCAT must determine whether the legislative criteria </w:t>
      </w:r>
      <w:r w:rsidR="005B4ECF" w:rsidRPr="52D60A89">
        <w:t xml:space="preserve">for a guardianship order </w:t>
      </w:r>
      <w:r w:rsidRPr="52D60A89">
        <w:t xml:space="preserve">are met. In </w:t>
      </w:r>
      <w:r w:rsidR="00C50D36">
        <w:t xml:space="preserve">essence, </w:t>
      </w:r>
      <w:r w:rsidRPr="52D60A89">
        <w:t>a person must have a decision-making disability that, in the context of their present circumstance, means they lack the capacity to make at least one significant and pressing personal decision. The key criteria are described in more detail below.</w:t>
      </w:r>
    </w:p>
    <w:p w14:paraId="30523FB5" w14:textId="3FA01201" w:rsidR="00C12B54" w:rsidRPr="00A22C98" w:rsidRDefault="00C12B54" w:rsidP="00C12B54">
      <w:pPr>
        <w:pStyle w:val="Heading4"/>
      </w:pPr>
      <w:r>
        <w:t>Considerations when appointing a guardian</w:t>
      </w:r>
    </w:p>
    <w:p w14:paraId="0F3481BC" w14:textId="35EBF04B" w:rsidR="00C12B54" w:rsidRPr="00A22C98" w:rsidRDefault="00C12B54" w:rsidP="00F3007B">
      <w:r>
        <w:t>Section 30(2) of the Act sets out that</w:t>
      </w:r>
      <w:r w:rsidR="00BA39C6">
        <w:t xml:space="preserve"> the tribunal </w:t>
      </w:r>
      <w:r w:rsidRPr="00A22C98">
        <w:t>may appoint a guardian to make decisions for another person about specified personal matter(s) if it is satisfied that:</w:t>
      </w:r>
    </w:p>
    <w:p w14:paraId="6C61BA99" w14:textId="77777777" w:rsidR="00C12B54" w:rsidRPr="00A22C98" w:rsidRDefault="00C12B54" w:rsidP="00A55EAB">
      <w:pPr>
        <w:numPr>
          <w:ilvl w:val="0"/>
          <w:numId w:val="40"/>
        </w:numPr>
        <w:spacing w:after="120"/>
      </w:pPr>
      <w:r w:rsidRPr="52D60A89">
        <w:t>because of the person’s disability, they do not have decision-making capacity in relation to the personal matters</w:t>
      </w:r>
    </w:p>
    <w:p w14:paraId="7C406D59" w14:textId="77777777" w:rsidR="00C12B54" w:rsidRPr="00A22C98" w:rsidRDefault="00C12B54" w:rsidP="00A55EAB">
      <w:pPr>
        <w:numPr>
          <w:ilvl w:val="0"/>
          <w:numId w:val="40"/>
        </w:numPr>
        <w:spacing w:after="120"/>
      </w:pPr>
      <w:r w:rsidRPr="00A22C98">
        <w:t>the order will promote the person’s personal and social wellbeing</w:t>
      </w:r>
    </w:p>
    <w:p w14:paraId="4EAFF394" w14:textId="77777777" w:rsidR="00C12B54" w:rsidRPr="00A22C98" w:rsidRDefault="00C12B54" w:rsidP="00A55EAB">
      <w:pPr>
        <w:numPr>
          <w:ilvl w:val="0"/>
          <w:numId w:val="40"/>
        </w:numPr>
        <w:spacing w:after="0"/>
      </w:pPr>
      <w:r w:rsidRPr="52D60A89">
        <w:t xml:space="preserve">the person </w:t>
      </w:r>
      <w:proofErr w:type="gramStart"/>
      <w:r w:rsidRPr="52D60A89">
        <w:t>is in need of</w:t>
      </w:r>
      <w:proofErr w:type="gramEnd"/>
      <w:r w:rsidRPr="52D60A89">
        <w:t xml:space="preserve"> a guardian having considered:</w:t>
      </w:r>
    </w:p>
    <w:p w14:paraId="4F206588" w14:textId="77777777" w:rsidR="00C12B54" w:rsidRPr="00A22C98" w:rsidRDefault="00C12B54" w:rsidP="00062A6A">
      <w:pPr>
        <w:numPr>
          <w:ilvl w:val="1"/>
          <w:numId w:val="20"/>
        </w:numPr>
        <w:spacing w:after="0"/>
      </w:pPr>
      <w:r w:rsidRPr="00A22C98">
        <w:t>the will and preferences of the person (if VCAT can find out what these are)</w:t>
      </w:r>
    </w:p>
    <w:p w14:paraId="28E3FA69" w14:textId="77777777" w:rsidR="00C12B54" w:rsidRPr="00A22C98" w:rsidRDefault="00C12B54" w:rsidP="00062A6A">
      <w:pPr>
        <w:numPr>
          <w:ilvl w:val="1"/>
          <w:numId w:val="20"/>
        </w:numPr>
        <w:spacing w:after="0"/>
      </w:pPr>
      <w:r w:rsidRPr="52D60A89">
        <w:t>whether the decisions for which the order is sought may be made informally or through negotiation or mediation</w:t>
      </w:r>
    </w:p>
    <w:p w14:paraId="4D0A461E" w14:textId="77777777" w:rsidR="00C12B54" w:rsidRPr="00A22C98" w:rsidRDefault="00C12B54" w:rsidP="00062A6A">
      <w:pPr>
        <w:numPr>
          <w:ilvl w:val="1"/>
          <w:numId w:val="20"/>
        </w:numPr>
        <w:spacing w:after="0"/>
      </w:pPr>
      <w:r w:rsidRPr="00A22C98">
        <w:t>the wishes of any primary carer, relative of the person, or someone with a direct interest in the application</w:t>
      </w:r>
    </w:p>
    <w:p w14:paraId="1E30BAAD" w14:textId="77777777" w:rsidR="00C12B54" w:rsidRPr="00A22C98" w:rsidRDefault="00C12B54" w:rsidP="00062A6A">
      <w:pPr>
        <w:numPr>
          <w:ilvl w:val="1"/>
          <w:numId w:val="20"/>
        </w:numPr>
        <w:spacing w:after="0"/>
      </w:pPr>
      <w:r w:rsidRPr="52D60A89">
        <w:lastRenderedPageBreak/>
        <w:t xml:space="preserve">important relationships that the person has and the benefits in maintaining them. </w:t>
      </w:r>
    </w:p>
    <w:p w14:paraId="452540E9" w14:textId="77777777" w:rsidR="00C06C4D" w:rsidRDefault="00C06C4D" w:rsidP="00C12B54"/>
    <w:p w14:paraId="4E764727" w14:textId="22738796" w:rsidR="00C12B54" w:rsidRPr="00A22C98" w:rsidRDefault="00C12B54" w:rsidP="00C12B54">
      <w:r w:rsidRPr="52D60A89">
        <w:t>The Act states that VCAT should exercise its power in a way that is the least restrictive of the ability of a person with disability to decide and act as is possible in the circumstances. The will and preference of the person should also direct, as far as practicable, decisions made for that person</w:t>
      </w:r>
      <w:r w:rsidR="00465756">
        <w:rPr>
          <w:rStyle w:val="FootnoteReference"/>
        </w:rPr>
        <w:footnoteReference w:id="7"/>
      </w:r>
      <w:r w:rsidRPr="52D60A89">
        <w:t>.</w:t>
      </w:r>
    </w:p>
    <w:p w14:paraId="2A9487E0" w14:textId="723FEBD7" w:rsidR="00C12B54" w:rsidRDefault="00C12B54" w:rsidP="00C12B54">
      <w:r w:rsidRPr="00A22C98">
        <w:t>If VCAT is satisfied that no other person fulfils the eligibility requirements set out in the Act for appointment as guardian for the proposed represented person, VCAT may appoint the Public Advocate</w:t>
      </w:r>
      <w:r w:rsidR="00465756">
        <w:rPr>
          <w:rStyle w:val="FootnoteReference"/>
        </w:rPr>
        <w:footnoteReference w:id="8"/>
      </w:r>
      <w:r>
        <w:t>.</w:t>
      </w:r>
    </w:p>
    <w:p w14:paraId="29152798" w14:textId="2A5F1CD3" w:rsidR="00C12B54" w:rsidRDefault="00B479C7" w:rsidP="008A6FB1">
      <w:pPr>
        <w:pStyle w:val="Heading3"/>
      </w:pPr>
      <w:bookmarkStart w:id="8" w:name="_Toc200963471"/>
      <w:r>
        <w:t>Ave</w:t>
      </w:r>
      <w:r w:rsidR="003F051E">
        <w:t>rage</w:t>
      </w:r>
      <w:r w:rsidR="00C12B54">
        <w:t xml:space="preserve"> length of time subject to guardianship</w:t>
      </w:r>
      <w:r w:rsidR="008A3F5E" w:rsidRPr="00F55310">
        <w:t>, 2008</w:t>
      </w:r>
      <w:r w:rsidR="000F39C2">
        <w:t>–</w:t>
      </w:r>
      <w:r w:rsidR="008A3F5E" w:rsidRPr="00F55310">
        <w:t>2022</w:t>
      </w:r>
      <w:bookmarkEnd w:id="8"/>
    </w:p>
    <w:p w14:paraId="16469AEB" w14:textId="6B1DE987" w:rsidR="009947F3" w:rsidRDefault="00864720" w:rsidP="00C12B54">
      <w:r>
        <w:t xml:space="preserve">In earlier research, </w:t>
      </w:r>
      <w:r w:rsidR="00E202F1">
        <w:t xml:space="preserve">OPA </w:t>
      </w:r>
      <w:r w:rsidR="00B1439A">
        <w:t xml:space="preserve">examined </w:t>
      </w:r>
      <w:r w:rsidR="00E202F1">
        <w:t>all guardianship matters i</w:t>
      </w:r>
      <w:r w:rsidR="00E202F1" w:rsidRPr="52D60A89">
        <w:t>n the 14</w:t>
      </w:r>
      <w:r w:rsidR="00E202F1">
        <w:t xml:space="preserve"> </w:t>
      </w:r>
      <w:r w:rsidR="00E202F1" w:rsidRPr="52D60A89">
        <w:t>year</w:t>
      </w:r>
      <w:r w:rsidR="00E202F1">
        <w:t>s</w:t>
      </w:r>
      <w:r w:rsidR="00E202F1" w:rsidRPr="52D60A89">
        <w:t xml:space="preserve"> from July 2008 to June 2022</w:t>
      </w:r>
      <w:r w:rsidR="00E202F1">
        <w:t xml:space="preserve"> and found that</w:t>
      </w:r>
      <w:r w:rsidR="00A460B0">
        <w:t xml:space="preserve"> across this period</w:t>
      </w:r>
      <w:r w:rsidR="00E202F1">
        <w:t xml:space="preserve"> </w:t>
      </w:r>
      <w:r w:rsidR="00A768BC">
        <w:t>people</w:t>
      </w:r>
      <w:r w:rsidR="002D4DE2">
        <w:t xml:space="preserve"> aged 18</w:t>
      </w:r>
      <w:r w:rsidR="00796F67">
        <w:t>–</w:t>
      </w:r>
      <w:r w:rsidR="002D4DE2">
        <w:t>6</w:t>
      </w:r>
      <w:r w:rsidR="00522643">
        <w:t>4</w:t>
      </w:r>
      <w:r w:rsidR="002D4DE2">
        <w:t xml:space="preserve"> usually averaged more time subject to guardianship than </w:t>
      </w:r>
      <w:r w:rsidR="00A10EE6">
        <w:t>represented people aged over 65.</w:t>
      </w:r>
      <w:r>
        <w:rPr>
          <w:rStyle w:val="FootnoteReference"/>
        </w:rPr>
        <w:footnoteReference w:id="9"/>
      </w:r>
      <w:r w:rsidR="00A10EE6">
        <w:t xml:space="preserve"> T</w:t>
      </w:r>
      <w:r w:rsidR="00E202F1" w:rsidRPr="52D60A89">
        <w:t xml:space="preserve">he average </w:t>
      </w:r>
      <w:r w:rsidR="00FE09BA">
        <w:t xml:space="preserve">length of </w:t>
      </w:r>
      <w:r w:rsidR="00E202F1" w:rsidRPr="52D60A89">
        <w:t xml:space="preserve">time </w:t>
      </w:r>
      <w:r w:rsidR="00E202F1" w:rsidRPr="00F410A9">
        <w:t xml:space="preserve">represented persons </w:t>
      </w:r>
      <w:r w:rsidR="002535B4">
        <w:t>aged over 65</w:t>
      </w:r>
      <w:r w:rsidR="00A24EA6">
        <w:t xml:space="preserve"> </w:t>
      </w:r>
      <w:r w:rsidR="004A1CAD">
        <w:t xml:space="preserve">spent under OPA guardianship </w:t>
      </w:r>
      <w:r w:rsidR="005B4ECF">
        <w:t xml:space="preserve">across the 14-year period </w:t>
      </w:r>
      <w:r w:rsidR="004A1CAD">
        <w:t>was 14 months, compared to 23 months for people aged</w:t>
      </w:r>
      <w:r w:rsidR="002535B4">
        <w:t xml:space="preserve"> </w:t>
      </w:r>
      <w:r w:rsidR="003A569F">
        <w:t>18</w:t>
      </w:r>
      <w:r w:rsidR="009708B1">
        <w:t>–</w:t>
      </w:r>
      <w:r w:rsidR="00E202F1" w:rsidRPr="00F410A9">
        <w:t>6</w:t>
      </w:r>
      <w:r w:rsidR="00522643">
        <w:t>4</w:t>
      </w:r>
      <w:r w:rsidR="00E202F1" w:rsidRPr="00F410A9">
        <w:t xml:space="preserve"> years</w:t>
      </w:r>
      <w:r w:rsidR="004A1CAD">
        <w:t>.</w:t>
      </w:r>
      <w:r>
        <w:rPr>
          <w:rStyle w:val="FootnoteReference"/>
        </w:rPr>
        <w:footnoteReference w:id="10"/>
      </w:r>
    </w:p>
    <w:p w14:paraId="02A53777" w14:textId="309F42D2" w:rsidR="00325B48" w:rsidRDefault="00325B48" w:rsidP="00C12B54">
      <w:r>
        <w:t>Averages can be taken for different cohorts of people across different time periods. The finding above is the average time spent under guardianship for an OPA guardianship client across that 14</w:t>
      </w:r>
      <w:r w:rsidR="005B4ECF">
        <w:t>-</w:t>
      </w:r>
      <w:r>
        <w:t>year period. T</w:t>
      </w:r>
      <w:r w:rsidR="00D66751">
        <w:t xml:space="preserve">he following analysis sought to determine whether </w:t>
      </w:r>
      <w:r w:rsidR="005B4ECF">
        <w:t xml:space="preserve">over time, </w:t>
      </w:r>
      <w:r w:rsidR="00D66751">
        <w:t>th</w:t>
      </w:r>
      <w:r w:rsidR="00513EEC">
        <w:t xml:space="preserve">e </w:t>
      </w:r>
      <w:r w:rsidR="00D66751">
        <w:t xml:space="preserve">average </w:t>
      </w:r>
      <w:r w:rsidR="00513EEC">
        <w:t xml:space="preserve">length of time </w:t>
      </w:r>
      <w:r w:rsidR="00D66751">
        <w:t xml:space="preserve">was stable, rising or falling. </w:t>
      </w:r>
      <w:r w:rsidR="003023B0">
        <w:t>The analysis</w:t>
      </w:r>
      <w:r w:rsidR="00D66751">
        <w:t xml:space="preserve"> took the people subject to guardianship in a particular year</w:t>
      </w:r>
      <w:r w:rsidR="00A01767">
        <w:t xml:space="preserve"> (for example, 2010</w:t>
      </w:r>
      <w:r w:rsidR="003C6F42">
        <w:t>/</w:t>
      </w:r>
      <w:r w:rsidR="00513EEC">
        <w:t>2011</w:t>
      </w:r>
      <w:r w:rsidR="00A01767">
        <w:t>)</w:t>
      </w:r>
      <w:r w:rsidR="00D66751">
        <w:t xml:space="preserve"> and calculated the average time they spent subject to guardianship across the surrounding 5</w:t>
      </w:r>
      <w:r w:rsidR="005B4ECF">
        <w:t>-</w:t>
      </w:r>
      <w:r w:rsidR="00D66751">
        <w:t>year</w:t>
      </w:r>
      <w:r w:rsidR="00A01767">
        <w:t xml:space="preserve"> period (for example, July 2008–June 2013)</w:t>
      </w:r>
      <w:r w:rsidR="00D66751">
        <w:t>.</w:t>
      </w:r>
    </w:p>
    <w:p w14:paraId="343427D6" w14:textId="7594C485" w:rsidR="00C12B54" w:rsidRDefault="00A01767" w:rsidP="00F731C5">
      <w:pPr>
        <w:spacing w:after="0"/>
      </w:pPr>
      <w:r>
        <w:t>This analysis determined that</w:t>
      </w:r>
      <w:r w:rsidR="00F346F6">
        <w:t xml:space="preserve"> in 2010</w:t>
      </w:r>
      <w:r w:rsidR="005732B2">
        <w:t>/</w:t>
      </w:r>
      <w:r w:rsidR="00F346F6">
        <w:t xml:space="preserve">2011 </w:t>
      </w:r>
      <w:r w:rsidR="001C68AF">
        <w:t>t</w:t>
      </w:r>
      <w:r w:rsidR="00C12B54">
        <w:t>he average time</w:t>
      </w:r>
      <w:r w:rsidR="00F253DB">
        <w:t xml:space="preserve"> </w:t>
      </w:r>
      <w:r w:rsidR="00AF714C">
        <w:t xml:space="preserve">spent subject to guardianship by </w:t>
      </w:r>
      <w:r w:rsidR="00F74561">
        <w:t>people aged 18</w:t>
      </w:r>
      <w:r w:rsidR="009708B1">
        <w:t>–</w:t>
      </w:r>
      <w:r w:rsidR="00F74561">
        <w:t>6</w:t>
      </w:r>
      <w:r w:rsidR="00522643">
        <w:t>4</w:t>
      </w:r>
      <w:r w:rsidR="00F74561">
        <w:t xml:space="preserve"> </w:t>
      </w:r>
      <w:r w:rsidR="00F346F6">
        <w:t>was</w:t>
      </w:r>
      <w:r w:rsidR="00C12B54">
        <w:t xml:space="preserve"> 24 months</w:t>
      </w:r>
      <w:r w:rsidR="00AD5396">
        <w:t xml:space="preserve"> and</w:t>
      </w:r>
      <w:r w:rsidR="00F346F6">
        <w:t xml:space="preserve"> </w:t>
      </w:r>
      <w:r>
        <w:t xml:space="preserve">by 2019/20 </w:t>
      </w:r>
      <w:r w:rsidR="00431A1A">
        <w:t xml:space="preserve">this </w:t>
      </w:r>
      <w:r>
        <w:t xml:space="preserve">had </w:t>
      </w:r>
      <w:r w:rsidR="00431A1A">
        <w:t xml:space="preserve">increased </w:t>
      </w:r>
      <w:r w:rsidR="0097640B">
        <w:t>to 30.3 months</w:t>
      </w:r>
      <w:r w:rsidR="00F346F6">
        <w:t xml:space="preserve"> </w:t>
      </w:r>
      <w:r w:rsidR="00C12B54">
        <w:t>(refer Table 1).</w:t>
      </w:r>
      <w:r w:rsidR="00513EEC">
        <w:rPr>
          <w:rStyle w:val="FootnoteReference"/>
        </w:rPr>
        <w:footnoteReference w:id="11"/>
      </w:r>
      <w:r w:rsidR="00C12B54">
        <w:t xml:space="preserve"> There was a consistent correlation between</w:t>
      </w:r>
      <w:r w:rsidR="00296345">
        <w:t xml:space="preserve"> time spent subject to guardianship and </w:t>
      </w:r>
      <w:r w:rsidR="00DF7B74">
        <w:t xml:space="preserve">whether the person was </w:t>
      </w:r>
      <w:r w:rsidR="00C12B54">
        <w:t>age</w:t>
      </w:r>
      <w:r w:rsidR="00DF7B74">
        <w:t xml:space="preserve">d </w:t>
      </w:r>
      <w:r w:rsidR="00C12B54">
        <w:t>over or under 65 years.</w:t>
      </w:r>
    </w:p>
    <w:p w14:paraId="3D095D58" w14:textId="77777777" w:rsidR="00F731C5" w:rsidRDefault="00F731C5" w:rsidP="00F731C5">
      <w:pPr>
        <w:spacing w:after="0"/>
      </w:pPr>
    </w:p>
    <w:tbl>
      <w:tblPr>
        <w:tblStyle w:val="TableGrid"/>
        <w:tblW w:w="8044" w:type="dxa"/>
        <w:jc w:val="center"/>
        <w:tblLook w:val="04A0" w:firstRow="1" w:lastRow="0" w:firstColumn="1" w:lastColumn="0" w:noHBand="0" w:noVBand="1"/>
      </w:tblPr>
      <w:tblGrid>
        <w:gridCol w:w="1752"/>
        <w:gridCol w:w="2126"/>
        <w:gridCol w:w="2127"/>
        <w:gridCol w:w="2039"/>
      </w:tblGrid>
      <w:tr w:rsidR="00B21865" w:rsidRPr="00B21865" w14:paraId="2178EC2A" w14:textId="77777777" w:rsidTr="00251150">
        <w:trPr>
          <w:trHeight w:val="288"/>
          <w:jc w:val="center"/>
        </w:trPr>
        <w:tc>
          <w:tcPr>
            <w:tcW w:w="1752" w:type="dxa"/>
          </w:tcPr>
          <w:p w14:paraId="3AAFB3D6" w14:textId="77777777" w:rsidR="006C2792" w:rsidRPr="00B21865" w:rsidRDefault="006C2792" w:rsidP="000D201C">
            <w:pPr>
              <w:ind w:firstLineChars="100" w:firstLine="200"/>
              <w:rPr>
                <w:rFonts w:eastAsia="Times New Roman" w:cs="Arial"/>
                <w:color w:val="000000" w:themeColor="text1"/>
                <w:kern w:val="0"/>
                <w:sz w:val="20"/>
                <w:szCs w:val="20"/>
                <w:lang w:eastAsia="en-AU"/>
                <w14:ligatures w14:val="none"/>
              </w:rPr>
            </w:pPr>
          </w:p>
        </w:tc>
        <w:tc>
          <w:tcPr>
            <w:tcW w:w="6292" w:type="dxa"/>
            <w:gridSpan w:val="3"/>
            <w:shd w:val="clear" w:color="auto" w:fill="C1E4F5" w:themeFill="accent1" w:themeFillTint="33"/>
          </w:tcPr>
          <w:p w14:paraId="04ED5F98" w14:textId="2B68B9E3" w:rsidR="006C2792" w:rsidRPr="00B21865" w:rsidRDefault="006C2792" w:rsidP="00A24B0B">
            <w:pPr>
              <w:ind w:firstLineChars="100" w:firstLine="201"/>
              <w:jc w:val="center"/>
              <w:rPr>
                <w:rFonts w:eastAsia="Times New Roman" w:cs="Arial"/>
                <w:b/>
                <w:bCs/>
                <w:color w:val="000000" w:themeColor="text1"/>
                <w:kern w:val="0"/>
                <w:sz w:val="20"/>
                <w:szCs w:val="20"/>
                <w:lang w:eastAsia="en-AU"/>
                <w14:ligatures w14:val="none"/>
              </w:rPr>
            </w:pPr>
            <w:r w:rsidRPr="00B21865">
              <w:rPr>
                <w:rFonts w:eastAsia="Times New Roman" w:cs="Arial"/>
                <w:b/>
                <w:bCs/>
                <w:color w:val="000000" w:themeColor="text1"/>
                <w:kern w:val="0"/>
                <w:sz w:val="20"/>
                <w:szCs w:val="20"/>
                <w:lang w:eastAsia="en-AU"/>
                <w14:ligatures w14:val="none"/>
              </w:rPr>
              <w:t>Months under guardianship</w:t>
            </w:r>
          </w:p>
        </w:tc>
      </w:tr>
      <w:tr w:rsidR="00B21865" w:rsidRPr="00B21865" w14:paraId="18F28D4E" w14:textId="77777777" w:rsidTr="00A24B0B">
        <w:trPr>
          <w:trHeight w:val="288"/>
          <w:jc w:val="center"/>
        </w:trPr>
        <w:tc>
          <w:tcPr>
            <w:tcW w:w="1752" w:type="dxa"/>
          </w:tcPr>
          <w:p w14:paraId="12D0901F" w14:textId="696BC921" w:rsidR="006C2792" w:rsidRPr="00B21865" w:rsidRDefault="00140428" w:rsidP="00A24B0B">
            <w:pPr>
              <w:ind w:firstLine="142"/>
              <w:jc w:val="center"/>
              <w:rPr>
                <w:rFonts w:eastAsia="Times New Roman" w:cs="Arial"/>
                <w:b/>
                <w:bCs/>
                <w:color w:val="000000" w:themeColor="text1"/>
                <w:kern w:val="0"/>
                <w:sz w:val="20"/>
                <w:szCs w:val="20"/>
                <w:lang w:eastAsia="en-AU"/>
                <w14:ligatures w14:val="none"/>
              </w:rPr>
            </w:pPr>
            <w:r w:rsidRPr="00B21865">
              <w:rPr>
                <w:rFonts w:eastAsia="Times New Roman" w:cs="Arial"/>
                <w:b/>
                <w:bCs/>
                <w:color w:val="000000" w:themeColor="text1"/>
                <w:kern w:val="0"/>
                <w:sz w:val="20"/>
                <w:szCs w:val="20"/>
                <w:lang w:eastAsia="en-AU"/>
                <w14:ligatures w14:val="none"/>
              </w:rPr>
              <w:t>Year</w:t>
            </w:r>
          </w:p>
        </w:tc>
        <w:tc>
          <w:tcPr>
            <w:tcW w:w="2126" w:type="dxa"/>
          </w:tcPr>
          <w:p w14:paraId="6635B3D3" w14:textId="47BDC818" w:rsidR="006C2792" w:rsidRPr="00B21865" w:rsidRDefault="006C2792" w:rsidP="008327F1">
            <w:pPr>
              <w:jc w:val="center"/>
              <w:rPr>
                <w:rFonts w:eastAsia="Times New Roman" w:cs="Arial"/>
                <w:b/>
                <w:bCs/>
                <w:color w:val="000000" w:themeColor="text1"/>
                <w:kern w:val="0"/>
                <w:sz w:val="20"/>
                <w:szCs w:val="20"/>
                <w:lang w:eastAsia="en-AU"/>
                <w14:ligatures w14:val="none"/>
              </w:rPr>
            </w:pPr>
            <w:r w:rsidRPr="00B21865">
              <w:rPr>
                <w:rFonts w:eastAsia="Times New Roman" w:cs="Arial"/>
                <w:b/>
                <w:bCs/>
                <w:color w:val="000000" w:themeColor="text1"/>
                <w:kern w:val="0"/>
                <w:sz w:val="20"/>
                <w:szCs w:val="20"/>
                <w:lang w:eastAsia="en-AU"/>
                <w14:ligatures w14:val="none"/>
              </w:rPr>
              <w:t>People &gt;65 years</w:t>
            </w:r>
          </w:p>
        </w:tc>
        <w:tc>
          <w:tcPr>
            <w:tcW w:w="2127" w:type="dxa"/>
          </w:tcPr>
          <w:p w14:paraId="35409931" w14:textId="6744127B" w:rsidR="006C2792" w:rsidRPr="00B21865" w:rsidRDefault="006C2792" w:rsidP="008327F1">
            <w:pPr>
              <w:jc w:val="center"/>
              <w:rPr>
                <w:rFonts w:eastAsia="Times New Roman" w:cs="Arial"/>
                <w:b/>
                <w:bCs/>
                <w:color w:val="000000" w:themeColor="text1"/>
                <w:kern w:val="0"/>
                <w:sz w:val="20"/>
                <w:szCs w:val="20"/>
                <w:lang w:eastAsia="en-AU"/>
                <w14:ligatures w14:val="none"/>
              </w:rPr>
            </w:pPr>
            <w:r w:rsidRPr="00B21865">
              <w:rPr>
                <w:rFonts w:eastAsia="Times New Roman" w:cs="Arial"/>
                <w:b/>
                <w:bCs/>
                <w:color w:val="000000" w:themeColor="text1"/>
                <w:kern w:val="0"/>
                <w:sz w:val="20"/>
                <w:szCs w:val="20"/>
                <w:lang w:eastAsia="en-AU"/>
                <w14:ligatures w14:val="none"/>
              </w:rPr>
              <w:t>People 18-6</w:t>
            </w:r>
            <w:r w:rsidR="00624EBC">
              <w:rPr>
                <w:rFonts w:eastAsia="Times New Roman" w:cs="Arial"/>
                <w:b/>
                <w:bCs/>
                <w:color w:val="000000" w:themeColor="text1"/>
                <w:kern w:val="0"/>
                <w:sz w:val="20"/>
                <w:szCs w:val="20"/>
                <w:lang w:eastAsia="en-AU"/>
                <w14:ligatures w14:val="none"/>
              </w:rPr>
              <w:t>4</w:t>
            </w:r>
          </w:p>
        </w:tc>
        <w:tc>
          <w:tcPr>
            <w:tcW w:w="2039" w:type="dxa"/>
          </w:tcPr>
          <w:p w14:paraId="0A41CA17" w14:textId="42E7F63A" w:rsidR="006C2792" w:rsidRPr="00B21865" w:rsidRDefault="006C2792" w:rsidP="008327F1">
            <w:pPr>
              <w:jc w:val="center"/>
              <w:rPr>
                <w:rFonts w:eastAsia="Times New Roman" w:cs="Arial"/>
                <w:b/>
                <w:bCs/>
                <w:color w:val="000000" w:themeColor="text1"/>
                <w:kern w:val="0"/>
                <w:sz w:val="20"/>
                <w:szCs w:val="20"/>
                <w:lang w:eastAsia="en-AU"/>
                <w14:ligatures w14:val="none"/>
              </w:rPr>
            </w:pPr>
            <w:r w:rsidRPr="00B21865">
              <w:rPr>
                <w:rFonts w:eastAsia="Times New Roman" w:cs="Arial"/>
                <w:b/>
                <w:bCs/>
                <w:color w:val="000000" w:themeColor="text1"/>
                <w:kern w:val="0"/>
                <w:sz w:val="20"/>
                <w:szCs w:val="20"/>
                <w:lang w:eastAsia="en-AU"/>
                <w14:ligatures w14:val="none"/>
              </w:rPr>
              <w:t>All people</w:t>
            </w:r>
          </w:p>
        </w:tc>
      </w:tr>
      <w:tr w:rsidR="00B21865" w:rsidRPr="00B21865" w14:paraId="283062C3" w14:textId="77777777" w:rsidTr="00A24B0B">
        <w:trPr>
          <w:trHeight w:val="288"/>
          <w:jc w:val="center"/>
        </w:trPr>
        <w:tc>
          <w:tcPr>
            <w:tcW w:w="1752" w:type="dxa"/>
            <w:hideMark/>
          </w:tcPr>
          <w:p w14:paraId="3708C599" w14:textId="6F249D27" w:rsidR="00C12B54" w:rsidRPr="00B21865" w:rsidRDefault="00D66751" w:rsidP="00A24B0B">
            <w:pPr>
              <w:ind w:firstLineChars="100" w:firstLine="200"/>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2010/11</w:t>
            </w:r>
          </w:p>
        </w:tc>
        <w:tc>
          <w:tcPr>
            <w:tcW w:w="2126" w:type="dxa"/>
            <w:hideMark/>
          </w:tcPr>
          <w:p w14:paraId="66915D37"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16</w:t>
            </w:r>
          </w:p>
        </w:tc>
        <w:tc>
          <w:tcPr>
            <w:tcW w:w="2127" w:type="dxa"/>
            <w:hideMark/>
          </w:tcPr>
          <w:p w14:paraId="71B1F0A0"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24</w:t>
            </w:r>
          </w:p>
        </w:tc>
        <w:tc>
          <w:tcPr>
            <w:tcW w:w="2039" w:type="dxa"/>
            <w:hideMark/>
          </w:tcPr>
          <w:p w14:paraId="52692EAC"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19.2</w:t>
            </w:r>
          </w:p>
        </w:tc>
      </w:tr>
      <w:tr w:rsidR="00B21865" w:rsidRPr="00B21865" w14:paraId="433A3650" w14:textId="77777777" w:rsidTr="00A24B0B">
        <w:trPr>
          <w:trHeight w:val="288"/>
          <w:jc w:val="center"/>
        </w:trPr>
        <w:tc>
          <w:tcPr>
            <w:tcW w:w="1752" w:type="dxa"/>
            <w:hideMark/>
          </w:tcPr>
          <w:p w14:paraId="6349AA5B" w14:textId="6DD0FA0E" w:rsidR="00C12B54" w:rsidRPr="00B21865" w:rsidRDefault="00D66751" w:rsidP="00A24B0B">
            <w:pPr>
              <w:ind w:firstLineChars="100" w:firstLine="200"/>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2014/15</w:t>
            </w:r>
          </w:p>
        </w:tc>
        <w:tc>
          <w:tcPr>
            <w:tcW w:w="2126" w:type="dxa"/>
            <w:hideMark/>
          </w:tcPr>
          <w:p w14:paraId="1C1944E5"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17.4</w:t>
            </w:r>
          </w:p>
        </w:tc>
        <w:tc>
          <w:tcPr>
            <w:tcW w:w="2127" w:type="dxa"/>
            <w:hideMark/>
          </w:tcPr>
          <w:p w14:paraId="1074C4E2"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26.9</w:t>
            </w:r>
          </w:p>
        </w:tc>
        <w:tc>
          <w:tcPr>
            <w:tcW w:w="2039" w:type="dxa"/>
            <w:hideMark/>
          </w:tcPr>
          <w:p w14:paraId="6AB1D4B6"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21.3</w:t>
            </w:r>
          </w:p>
        </w:tc>
      </w:tr>
      <w:tr w:rsidR="00B21865" w:rsidRPr="00B21865" w14:paraId="2039C7D5" w14:textId="77777777" w:rsidTr="00A24B0B">
        <w:trPr>
          <w:trHeight w:val="288"/>
          <w:jc w:val="center"/>
        </w:trPr>
        <w:tc>
          <w:tcPr>
            <w:tcW w:w="1752" w:type="dxa"/>
            <w:hideMark/>
          </w:tcPr>
          <w:p w14:paraId="2EDC8104" w14:textId="77777777" w:rsidR="00C12B54" w:rsidRPr="00B21865" w:rsidRDefault="00C12B54" w:rsidP="00A24B0B">
            <w:pPr>
              <w:ind w:firstLineChars="100" w:firstLine="200"/>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2019/20</w:t>
            </w:r>
          </w:p>
        </w:tc>
        <w:tc>
          <w:tcPr>
            <w:tcW w:w="2126" w:type="dxa"/>
            <w:hideMark/>
          </w:tcPr>
          <w:p w14:paraId="5C4E39AA"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17.8</w:t>
            </w:r>
          </w:p>
        </w:tc>
        <w:tc>
          <w:tcPr>
            <w:tcW w:w="2127" w:type="dxa"/>
            <w:hideMark/>
          </w:tcPr>
          <w:p w14:paraId="400705FA"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30.3</w:t>
            </w:r>
          </w:p>
        </w:tc>
        <w:tc>
          <w:tcPr>
            <w:tcW w:w="2039" w:type="dxa"/>
            <w:hideMark/>
          </w:tcPr>
          <w:p w14:paraId="687D0BC7" w14:textId="77777777" w:rsidR="00C12B54" w:rsidRPr="00B21865" w:rsidRDefault="00C12B54" w:rsidP="008327F1">
            <w:pPr>
              <w:jc w:val="center"/>
              <w:rPr>
                <w:rFonts w:eastAsia="Times New Roman" w:cs="Arial"/>
                <w:color w:val="000000" w:themeColor="text1"/>
                <w:kern w:val="0"/>
                <w:sz w:val="20"/>
                <w:szCs w:val="20"/>
                <w:lang w:eastAsia="en-AU"/>
                <w14:ligatures w14:val="none"/>
              </w:rPr>
            </w:pPr>
            <w:r w:rsidRPr="00B21865">
              <w:rPr>
                <w:rFonts w:eastAsia="Times New Roman" w:cs="Arial"/>
                <w:color w:val="000000" w:themeColor="text1"/>
                <w:kern w:val="0"/>
                <w:sz w:val="20"/>
                <w:szCs w:val="20"/>
                <w:lang w:eastAsia="en-AU"/>
                <w14:ligatures w14:val="none"/>
              </w:rPr>
              <w:t>24.5</w:t>
            </w:r>
          </w:p>
        </w:tc>
      </w:tr>
    </w:tbl>
    <w:p w14:paraId="63B3F77D" w14:textId="5A157673" w:rsidR="00C12B54" w:rsidRDefault="00C12B54" w:rsidP="008327F1">
      <w:pPr>
        <w:ind w:left="709" w:hanging="709"/>
        <w:rPr>
          <w:sz w:val="20"/>
          <w:szCs w:val="20"/>
        </w:rPr>
      </w:pPr>
      <w:r w:rsidRPr="447F9F50">
        <w:rPr>
          <w:b/>
          <w:bCs/>
          <w:sz w:val="20"/>
          <w:szCs w:val="20"/>
        </w:rPr>
        <w:t>Table 1</w:t>
      </w:r>
      <w:r w:rsidR="00AC629F">
        <w:rPr>
          <w:b/>
          <w:bCs/>
          <w:sz w:val="20"/>
          <w:szCs w:val="20"/>
        </w:rPr>
        <w:t>:</w:t>
      </w:r>
      <w:r w:rsidRPr="447F9F50">
        <w:rPr>
          <w:b/>
          <w:bCs/>
          <w:sz w:val="20"/>
          <w:szCs w:val="20"/>
        </w:rPr>
        <w:t xml:space="preserve"> </w:t>
      </w:r>
      <w:r w:rsidR="007D4378" w:rsidRPr="447F9F50">
        <w:rPr>
          <w:sz w:val="20"/>
          <w:szCs w:val="20"/>
        </w:rPr>
        <w:t xml:space="preserve">Average number of months </w:t>
      </w:r>
      <w:r w:rsidRPr="447F9F50">
        <w:rPr>
          <w:sz w:val="20"/>
          <w:szCs w:val="20"/>
        </w:rPr>
        <w:t>under OPA guardianship for represented person whose (closed) matters were received between July 2008 to June 2022</w:t>
      </w:r>
      <w:r w:rsidR="007D4378" w:rsidRPr="447F9F50">
        <w:rPr>
          <w:sz w:val="20"/>
          <w:szCs w:val="20"/>
        </w:rPr>
        <w:t xml:space="preserve"> (</w:t>
      </w:r>
      <w:r w:rsidRPr="447F9F50">
        <w:rPr>
          <w:sz w:val="20"/>
          <w:szCs w:val="20"/>
        </w:rPr>
        <w:t>by age when first order received</w:t>
      </w:r>
      <w:r w:rsidR="007D4378" w:rsidRPr="447F9F50">
        <w:rPr>
          <w:sz w:val="20"/>
          <w:szCs w:val="20"/>
        </w:rPr>
        <w:t>)</w:t>
      </w:r>
    </w:p>
    <w:p w14:paraId="0A2A70B2" w14:textId="630D430B" w:rsidR="00C12B54" w:rsidRDefault="00C00F79" w:rsidP="00273FF8">
      <w:pPr>
        <w:spacing w:before="240"/>
      </w:pPr>
      <w:r>
        <w:t xml:space="preserve">Comparative population data </w:t>
      </w:r>
      <w:r w:rsidR="00C12B54">
        <w:t>was also considered. While Victoria’s population growth rate for people aged between 25 and 64 years was 20 per cent between 2011 and 2021, the growth in the number of people with psychosocial or intellectual disability under guardianship (for a similar age cohort) was around 100 per cent. Hence, this growth is unlikely to be explained by popul</w:t>
      </w:r>
      <w:r w:rsidR="004D78A3">
        <w:t>a</w:t>
      </w:r>
      <w:r w:rsidR="00C12B54">
        <w:t>tion changes alone.</w:t>
      </w:r>
    </w:p>
    <w:p w14:paraId="22497640" w14:textId="2E08390D" w:rsidR="00CE33D6" w:rsidRPr="00574117" w:rsidRDefault="00C12B54" w:rsidP="00942180">
      <w:pPr>
        <w:jc w:val="center"/>
        <w:rPr>
          <w:b/>
          <w:bCs/>
        </w:rPr>
      </w:pPr>
      <w:r>
        <w:rPr>
          <w:noProof/>
        </w:rPr>
        <w:lastRenderedPageBreak/>
        <w:drawing>
          <wp:inline distT="0" distB="0" distL="0" distR="0" wp14:anchorId="48B38CEF" wp14:editId="0C1333B1">
            <wp:extent cx="5023480" cy="1896745"/>
            <wp:effectExtent l="0" t="0" r="0" b="0"/>
            <wp:docPr id="1531311829" name="Picture 1" descr="Pictur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99556" cy="1925469"/>
                    </a:xfrm>
                    <a:prstGeom prst="rect">
                      <a:avLst/>
                    </a:prstGeom>
                    <a:noFill/>
                    <a:ln>
                      <a:noFill/>
                    </a:ln>
                  </pic:spPr>
                </pic:pic>
              </a:graphicData>
            </a:graphic>
          </wp:inline>
        </w:drawing>
      </w:r>
      <w:r w:rsidR="00CE33D6">
        <w:br/>
      </w:r>
      <w:r w:rsidR="00CE33D6" w:rsidRPr="00821189">
        <w:rPr>
          <w:b/>
          <w:bCs/>
          <w:sz w:val="20"/>
          <w:szCs w:val="20"/>
        </w:rPr>
        <w:t xml:space="preserve">Graph </w:t>
      </w:r>
      <w:r w:rsidR="00BD6B68">
        <w:rPr>
          <w:b/>
          <w:bCs/>
          <w:sz w:val="20"/>
          <w:szCs w:val="20"/>
        </w:rPr>
        <w:t>2</w:t>
      </w:r>
      <w:r w:rsidR="00CE33D6" w:rsidRPr="00821189">
        <w:rPr>
          <w:b/>
          <w:bCs/>
          <w:sz w:val="20"/>
          <w:szCs w:val="20"/>
        </w:rPr>
        <w:t xml:space="preserve">: </w:t>
      </w:r>
      <w:r w:rsidR="00CE33D6" w:rsidRPr="00C72812">
        <w:rPr>
          <w:sz w:val="20"/>
          <w:szCs w:val="20"/>
        </w:rPr>
        <w:t xml:space="preserve">Number of </w:t>
      </w:r>
      <w:r w:rsidR="00A93EE5">
        <w:rPr>
          <w:sz w:val="20"/>
          <w:szCs w:val="20"/>
        </w:rPr>
        <w:t>r</w:t>
      </w:r>
      <w:r w:rsidR="002369C8">
        <w:rPr>
          <w:sz w:val="20"/>
          <w:szCs w:val="20"/>
        </w:rPr>
        <w:t xml:space="preserve">epresented </w:t>
      </w:r>
      <w:r w:rsidR="00A93EE5">
        <w:rPr>
          <w:sz w:val="20"/>
          <w:szCs w:val="20"/>
        </w:rPr>
        <w:t>p</w:t>
      </w:r>
      <w:r w:rsidR="00CE33D6" w:rsidRPr="00C72812">
        <w:rPr>
          <w:sz w:val="20"/>
          <w:szCs w:val="20"/>
        </w:rPr>
        <w:t>e</w:t>
      </w:r>
      <w:r w:rsidR="00C72812">
        <w:rPr>
          <w:sz w:val="20"/>
          <w:szCs w:val="20"/>
        </w:rPr>
        <w:t>rsons</w:t>
      </w:r>
      <w:r w:rsidR="005F1B82" w:rsidRPr="00C72812">
        <w:rPr>
          <w:sz w:val="20"/>
          <w:szCs w:val="20"/>
        </w:rPr>
        <w:t xml:space="preserve"> </w:t>
      </w:r>
      <w:r w:rsidR="00942180" w:rsidRPr="00C72812">
        <w:rPr>
          <w:sz w:val="20"/>
          <w:szCs w:val="20"/>
        </w:rPr>
        <w:t xml:space="preserve">by </w:t>
      </w:r>
      <w:r w:rsidR="00942180" w:rsidRPr="00821189">
        <w:rPr>
          <w:sz w:val="20"/>
          <w:szCs w:val="20"/>
        </w:rPr>
        <w:t>financial year, by disability type</w:t>
      </w:r>
    </w:p>
    <w:p w14:paraId="692E5E90" w14:textId="77777777" w:rsidR="004D46AB" w:rsidRDefault="004D46AB" w:rsidP="00C12B54">
      <w:pPr>
        <w:pStyle w:val="Heading1"/>
      </w:pPr>
      <w:bookmarkStart w:id="9" w:name="_Toc200963472"/>
    </w:p>
    <w:p w14:paraId="79621E43" w14:textId="445AC46D" w:rsidR="00CA06EF" w:rsidRDefault="00CA06EF" w:rsidP="00C12B54">
      <w:pPr>
        <w:pStyle w:val="Heading1"/>
      </w:pPr>
      <w:r>
        <w:t>Reappointments over time</w:t>
      </w:r>
      <w:r w:rsidR="00CA6E28">
        <w:t>, 201</w:t>
      </w:r>
      <w:r w:rsidR="00675AEE">
        <w:t>1</w:t>
      </w:r>
      <w:r w:rsidR="00E664A9">
        <w:t>–</w:t>
      </w:r>
      <w:r w:rsidR="00CA6E28">
        <w:t>202</w:t>
      </w:r>
      <w:r w:rsidR="00675AEE">
        <w:t>4</w:t>
      </w:r>
      <w:bookmarkEnd w:id="9"/>
    </w:p>
    <w:p w14:paraId="47F4EAA9" w14:textId="1A7DD12D" w:rsidR="00DE51BF" w:rsidRDefault="00956141" w:rsidP="00A55EAB">
      <w:pPr>
        <w:spacing w:after="0"/>
      </w:pPr>
      <w:r>
        <w:t>A</w:t>
      </w:r>
      <w:r w:rsidR="00AE571C">
        <w:t xml:space="preserve"> </w:t>
      </w:r>
      <w:r w:rsidR="009A1385">
        <w:t xml:space="preserve">review of </w:t>
      </w:r>
      <w:r w:rsidR="00AE571C">
        <w:t xml:space="preserve">reappointment rates </w:t>
      </w:r>
      <w:r w:rsidR="0001770E">
        <w:t xml:space="preserve">between </w:t>
      </w:r>
      <w:r w:rsidR="005A7846">
        <w:t>201</w:t>
      </w:r>
      <w:r w:rsidR="00CB5534">
        <w:t>7</w:t>
      </w:r>
      <w:r w:rsidR="005A7846">
        <w:t>–202</w:t>
      </w:r>
      <w:r w:rsidR="00675213">
        <w:t>4</w:t>
      </w:r>
      <w:r w:rsidR="0042311B">
        <w:t xml:space="preserve"> </w:t>
      </w:r>
      <w:r w:rsidR="00871641">
        <w:t xml:space="preserve">shows that </w:t>
      </w:r>
      <w:r w:rsidR="004D78A3">
        <w:t>since 2020</w:t>
      </w:r>
      <w:r w:rsidR="0052463A">
        <w:t>/</w:t>
      </w:r>
      <w:r w:rsidR="004D78A3">
        <w:t>21,</w:t>
      </w:r>
      <w:r w:rsidR="00871641">
        <w:t xml:space="preserve"> </w:t>
      </w:r>
      <w:r w:rsidR="00583198">
        <w:t xml:space="preserve">the proportion of </w:t>
      </w:r>
      <w:r w:rsidR="00452C02">
        <w:t xml:space="preserve">reappointments </w:t>
      </w:r>
      <w:r w:rsidR="00BA6D98">
        <w:t xml:space="preserve">has risen from </w:t>
      </w:r>
      <w:r w:rsidR="008E5546">
        <w:t xml:space="preserve">around </w:t>
      </w:r>
      <w:r w:rsidR="0078574D">
        <w:t>25 per cent of</w:t>
      </w:r>
      <w:r w:rsidR="000C2181">
        <w:t xml:space="preserve"> matters</w:t>
      </w:r>
      <w:r w:rsidR="008E5546">
        <w:t xml:space="preserve"> to </w:t>
      </w:r>
      <w:r w:rsidR="006D0D26">
        <w:t>around 40 per cent of matters</w:t>
      </w:r>
      <w:r w:rsidR="00547225">
        <w:t>.</w:t>
      </w:r>
      <w:r w:rsidR="00A7285A">
        <w:t xml:space="preserve"> </w:t>
      </w:r>
      <w:r w:rsidR="00C90EA3">
        <w:t>(</w:t>
      </w:r>
      <w:r w:rsidR="00CE2D9D">
        <w:t>The two years</w:t>
      </w:r>
      <w:r w:rsidR="007B1C71">
        <w:t xml:space="preserve"> 2021</w:t>
      </w:r>
      <w:r w:rsidR="0052463A">
        <w:t>/</w:t>
      </w:r>
      <w:r w:rsidR="007B1C71">
        <w:t>22 and 2022</w:t>
      </w:r>
      <w:r w:rsidR="0052463A">
        <w:t>/</w:t>
      </w:r>
      <w:r w:rsidR="007B1C71">
        <w:t>23</w:t>
      </w:r>
      <w:r w:rsidR="002A2ECB">
        <w:t xml:space="preserve"> </w:t>
      </w:r>
      <w:r w:rsidR="004C2F19">
        <w:t xml:space="preserve">appear </w:t>
      </w:r>
      <w:r w:rsidR="00025E04">
        <w:t>to be outliers</w:t>
      </w:r>
      <w:r w:rsidR="00644D39">
        <w:t xml:space="preserve"> from the surrounding data: </w:t>
      </w:r>
      <w:r w:rsidR="00347A6A">
        <w:t xml:space="preserve">by </w:t>
      </w:r>
      <w:r w:rsidR="001C55E9">
        <w:t>t</w:t>
      </w:r>
      <w:r w:rsidR="009153A4">
        <w:t xml:space="preserve">aking their </w:t>
      </w:r>
      <w:r w:rsidR="00326B1C">
        <w:t>average</w:t>
      </w:r>
      <w:r w:rsidR="00347A6A">
        <w:t xml:space="preserve"> </w:t>
      </w:r>
      <w:r w:rsidR="00FE5884">
        <w:t>they reflect th</w:t>
      </w:r>
      <w:r w:rsidR="00051108">
        <w:t>e</w:t>
      </w:r>
      <w:r w:rsidR="00025E04">
        <w:t xml:space="preserve"> </w:t>
      </w:r>
      <w:r w:rsidR="00051108">
        <w:t xml:space="preserve">reappointment </w:t>
      </w:r>
      <w:r w:rsidR="00025E04">
        <w:t xml:space="preserve">rates </w:t>
      </w:r>
      <w:r w:rsidR="00051108">
        <w:t>seen in</w:t>
      </w:r>
      <w:r w:rsidR="00025E04">
        <w:t xml:space="preserve"> the</w:t>
      </w:r>
      <w:r w:rsidR="00347A6A">
        <w:t xml:space="preserve"> adjacent</w:t>
      </w:r>
      <w:r w:rsidR="00025E04">
        <w:t xml:space="preserve"> years</w:t>
      </w:r>
      <w:r w:rsidR="008F54B6">
        <w:t>.</w:t>
      </w:r>
      <w:r w:rsidR="00513EEC">
        <w:rPr>
          <w:rStyle w:val="FootnoteReference"/>
        </w:rPr>
        <w:footnoteReference w:id="12"/>
      </w:r>
      <w:r w:rsidR="00C90EA3">
        <w:t>)</w:t>
      </w:r>
      <w:r w:rsidR="00DE51BF">
        <w:t xml:space="preserve"> </w:t>
      </w:r>
    </w:p>
    <w:p w14:paraId="178A3502" w14:textId="67CE7167" w:rsidR="003C4ACF" w:rsidRDefault="003C4ACF" w:rsidP="00A55EAB">
      <w:pPr>
        <w:spacing w:after="0"/>
        <w:jc w:val="center"/>
        <w:rPr>
          <w:b/>
          <w:bCs/>
          <w:sz w:val="20"/>
          <w:szCs w:val="20"/>
        </w:rPr>
      </w:pPr>
    </w:p>
    <w:p w14:paraId="12095DED" w14:textId="0CDAFEB3" w:rsidR="00056B57" w:rsidRPr="00A55EAB" w:rsidRDefault="003C4ACF" w:rsidP="00F71F24">
      <w:pPr>
        <w:jc w:val="center"/>
        <w:rPr>
          <w:b/>
          <w:bCs/>
          <w:sz w:val="20"/>
          <w:szCs w:val="20"/>
        </w:rPr>
      </w:pPr>
      <w:r>
        <w:rPr>
          <w:noProof/>
        </w:rPr>
        <w:drawing>
          <wp:inline distT="0" distB="0" distL="0" distR="0" wp14:anchorId="18032E52" wp14:editId="4D14CD1D">
            <wp:extent cx="5553075" cy="2743200"/>
            <wp:effectExtent l="0" t="0" r="9525" b="0"/>
            <wp:docPr id="139154519" name="Chart 1">
              <a:extLst xmlns:a="http://schemas.openxmlformats.org/drawingml/2006/main">
                <a:ext uri="{FF2B5EF4-FFF2-40B4-BE49-F238E27FC236}">
                  <a16:creationId xmlns:a16="http://schemas.microsoft.com/office/drawing/2014/main" id="{13755F60-BFDC-6A93-74D5-31E7C742D1F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00F71F24">
        <w:rPr>
          <w:b/>
          <w:bCs/>
          <w:sz w:val="20"/>
          <w:szCs w:val="20"/>
        </w:rPr>
        <w:br/>
      </w:r>
      <w:r w:rsidR="002E77E4" w:rsidRPr="00821189">
        <w:rPr>
          <w:b/>
          <w:bCs/>
          <w:sz w:val="20"/>
          <w:szCs w:val="20"/>
        </w:rPr>
        <w:t xml:space="preserve">Graph </w:t>
      </w:r>
      <w:r w:rsidR="000B2610">
        <w:rPr>
          <w:b/>
          <w:bCs/>
          <w:sz w:val="20"/>
          <w:szCs w:val="20"/>
        </w:rPr>
        <w:t>3</w:t>
      </w:r>
      <w:r w:rsidR="002E77E4" w:rsidRPr="00821189">
        <w:rPr>
          <w:b/>
          <w:bCs/>
          <w:sz w:val="20"/>
          <w:szCs w:val="20"/>
        </w:rPr>
        <w:t xml:space="preserve">: </w:t>
      </w:r>
      <w:r w:rsidR="00CE5CEA" w:rsidRPr="0086044D">
        <w:rPr>
          <w:sz w:val="20"/>
          <w:szCs w:val="20"/>
        </w:rPr>
        <w:t>Number and reappointment rate</w:t>
      </w:r>
      <w:r w:rsidR="008A0326" w:rsidRPr="0086044D">
        <w:rPr>
          <w:sz w:val="20"/>
          <w:szCs w:val="20"/>
        </w:rPr>
        <w:t xml:space="preserve"> of </w:t>
      </w:r>
      <w:r w:rsidR="002E31F3" w:rsidRPr="0086044D">
        <w:rPr>
          <w:sz w:val="20"/>
          <w:szCs w:val="20"/>
        </w:rPr>
        <w:t>guardianship matters</w:t>
      </w:r>
      <w:r w:rsidR="002E31F3" w:rsidRPr="00273B01">
        <w:rPr>
          <w:sz w:val="20"/>
          <w:szCs w:val="20"/>
        </w:rPr>
        <w:t xml:space="preserve"> by year</w:t>
      </w:r>
      <w:r w:rsidR="00CA10AD">
        <w:rPr>
          <w:sz w:val="20"/>
          <w:szCs w:val="20"/>
        </w:rPr>
        <w:t>- all ages.</w:t>
      </w:r>
    </w:p>
    <w:p w14:paraId="6C831433" w14:textId="34F42A3A" w:rsidR="00D50D11" w:rsidRDefault="00D50D11" w:rsidP="00D50D11">
      <w:r>
        <w:t>By separating the same information into guardianship matters concerning people over 65 years and those concerning people aged 18</w:t>
      </w:r>
      <w:r w:rsidR="00BB0AB8">
        <w:t>–</w:t>
      </w:r>
      <w:r>
        <w:t>6</w:t>
      </w:r>
      <w:r w:rsidR="00083B2E">
        <w:t>4</w:t>
      </w:r>
      <w:r>
        <w:t xml:space="preserve"> years, the cohort driving this shift over time becomes clear. As graph 4 shows, for OPA guardianship clients aged 18</w:t>
      </w:r>
      <w:r w:rsidR="00BB0AB8">
        <w:t>–</w:t>
      </w:r>
      <w:r>
        <w:t>6</w:t>
      </w:r>
      <w:r w:rsidR="00083B2E">
        <w:t>4</w:t>
      </w:r>
      <w:r>
        <w:t xml:space="preserve"> years</w:t>
      </w:r>
      <w:r w:rsidRPr="00DD7D72">
        <w:t xml:space="preserve"> th</w:t>
      </w:r>
      <w:r>
        <w:t xml:space="preserve">e </w:t>
      </w:r>
      <w:r w:rsidRPr="00DD7D72">
        <w:t>reappointment</w:t>
      </w:r>
      <w:r>
        <w:t xml:space="preserve"> rate</w:t>
      </w:r>
      <w:r w:rsidRPr="00DD7D72">
        <w:t xml:space="preserve"> started at around 35</w:t>
      </w:r>
      <w:r>
        <w:t xml:space="preserve"> per cent</w:t>
      </w:r>
      <w:r w:rsidRPr="00DD7D72">
        <w:t xml:space="preserve"> </w:t>
      </w:r>
      <w:r>
        <w:t xml:space="preserve">of matters </w:t>
      </w:r>
      <w:r w:rsidRPr="00DD7D72">
        <w:t>in 2017</w:t>
      </w:r>
      <w:r>
        <w:t>/</w:t>
      </w:r>
      <w:r w:rsidRPr="00DD7D72">
        <w:t xml:space="preserve">18, </w:t>
      </w:r>
      <w:r>
        <w:t xml:space="preserve">rose over the following three years, </w:t>
      </w:r>
      <w:r w:rsidRPr="00DD7D72">
        <w:t xml:space="preserve">and then </w:t>
      </w:r>
      <w:r>
        <w:t xml:space="preserve">remained steady </w:t>
      </w:r>
      <w:r w:rsidRPr="00DD7D72">
        <w:t>at approximately 55</w:t>
      </w:r>
      <w:r>
        <w:t xml:space="preserve"> per cent</w:t>
      </w:r>
      <w:r w:rsidRPr="00DD7D72">
        <w:t xml:space="preserve"> in 2020</w:t>
      </w:r>
      <w:r>
        <w:t>/</w:t>
      </w:r>
      <w:r w:rsidRPr="00DD7D72">
        <w:t>21</w:t>
      </w:r>
      <w:r>
        <w:t>, seemingly holding at a ‘</w:t>
      </w:r>
      <w:r w:rsidRPr="00DD7D72">
        <w:t>new normal</w:t>
      </w:r>
      <w:r>
        <w:t>’</w:t>
      </w:r>
      <w:r w:rsidRPr="00DD7D72">
        <w:t>.</w:t>
      </w:r>
    </w:p>
    <w:p w14:paraId="7BAAD8B1" w14:textId="0B29F6B6" w:rsidR="00D50D11" w:rsidRDefault="00D50D11" w:rsidP="00D50D11">
      <w:r>
        <w:lastRenderedPageBreak/>
        <w:t>By contrast</w:t>
      </w:r>
      <w:r w:rsidR="00E64858">
        <w:t>,</w:t>
      </w:r>
      <w:r>
        <w:t xml:space="preserve"> for OPA clients over 65, the reappointment rate started the period at 20 per cent and looks set to end the period at the same rate. Reappointments rose by around 5 per cent beginning in the year the pandemic commenced and held around this rate until 2023/24.</w:t>
      </w:r>
    </w:p>
    <w:p w14:paraId="2193D239" w14:textId="77777777" w:rsidR="00F731C5" w:rsidRDefault="00F731C5" w:rsidP="00F731C5">
      <w:pPr>
        <w:spacing w:after="0"/>
      </w:pPr>
    </w:p>
    <w:p w14:paraId="25807EEB" w14:textId="3A45F30E" w:rsidR="008F2F5D" w:rsidRDefault="00BC6A55" w:rsidP="00F71F24">
      <w:pPr>
        <w:jc w:val="center"/>
        <w:rPr>
          <w:sz w:val="20"/>
          <w:szCs w:val="20"/>
        </w:rPr>
      </w:pPr>
      <w:r>
        <w:rPr>
          <w:noProof/>
        </w:rPr>
        <w:drawing>
          <wp:inline distT="0" distB="0" distL="0" distR="0" wp14:anchorId="0B48EBB1" wp14:editId="5B789A75">
            <wp:extent cx="5527675" cy="2647950"/>
            <wp:effectExtent l="0" t="0" r="0" b="0"/>
            <wp:docPr id="573507683" name="Chart 1">
              <a:extLst xmlns:a="http://schemas.openxmlformats.org/drawingml/2006/main">
                <a:ext uri="{FF2B5EF4-FFF2-40B4-BE49-F238E27FC236}">
                  <a16:creationId xmlns:a16="http://schemas.microsoft.com/office/drawing/2014/main" id="{17FAFB3C-62BE-DE1B-B12A-B61B60EF1F6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F71F24">
        <w:rPr>
          <w:b/>
          <w:bCs/>
          <w:sz w:val="20"/>
          <w:szCs w:val="20"/>
        </w:rPr>
        <w:br/>
      </w:r>
      <w:r w:rsidR="008F2F5D" w:rsidRPr="00821189">
        <w:rPr>
          <w:b/>
          <w:bCs/>
          <w:sz w:val="20"/>
          <w:szCs w:val="20"/>
        </w:rPr>
        <w:t xml:space="preserve">Graph </w:t>
      </w:r>
      <w:r w:rsidR="000B2610">
        <w:rPr>
          <w:b/>
          <w:bCs/>
          <w:sz w:val="20"/>
          <w:szCs w:val="20"/>
        </w:rPr>
        <w:t>4</w:t>
      </w:r>
      <w:r w:rsidR="008F2F5D" w:rsidRPr="00821189">
        <w:rPr>
          <w:b/>
          <w:bCs/>
          <w:sz w:val="20"/>
          <w:szCs w:val="20"/>
        </w:rPr>
        <w:t xml:space="preserve">: </w:t>
      </w:r>
      <w:r w:rsidR="008F2F5D" w:rsidRPr="00B4241B">
        <w:rPr>
          <w:sz w:val="20"/>
          <w:szCs w:val="20"/>
        </w:rPr>
        <w:t>Number and reappointment rate of guardianship matters</w:t>
      </w:r>
      <w:r w:rsidR="008F2F5D" w:rsidRPr="00273B01">
        <w:rPr>
          <w:sz w:val="20"/>
          <w:szCs w:val="20"/>
        </w:rPr>
        <w:t xml:space="preserve"> by year</w:t>
      </w:r>
      <w:r w:rsidR="00E147FA">
        <w:rPr>
          <w:sz w:val="20"/>
          <w:szCs w:val="20"/>
        </w:rPr>
        <w:t>,</w:t>
      </w:r>
      <w:r w:rsidR="00842F9A">
        <w:rPr>
          <w:sz w:val="20"/>
          <w:szCs w:val="20"/>
        </w:rPr>
        <w:t xml:space="preserve"> for people under 65</w:t>
      </w:r>
      <w:r w:rsidR="008F2F5D" w:rsidRPr="00B4241B">
        <w:rPr>
          <w:sz w:val="20"/>
          <w:szCs w:val="20"/>
        </w:rPr>
        <w:t>.</w:t>
      </w:r>
    </w:p>
    <w:p w14:paraId="624AFB49" w14:textId="77777777" w:rsidR="00CF2953" w:rsidRPr="00A55EAB" w:rsidRDefault="00CF2953" w:rsidP="00F71F24">
      <w:pPr>
        <w:jc w:val="center"/>
        <w:rPr>
          <w:b/>
          <w:bCs/>
          <w:sz w:val="20"/>
          <w:szCs w:val="20"/>
        </w:rPr>
      </w:pPr>
    </w:p>
    <w:p w14:paraId="59EBC449" w14:textId="4111A73C" w:rsidR="00706934" w:rsidRPr="00A55EAB" w:rsidRDefault="008C19EF" w:rsidP="00F71F24">
      <w:pPr>
        <w:jc w:val="center"/>
        <w:rPr>
          <w:b/>
          <w:bCs/>
          <w:sz w:val="20"/>
          <w:szCs w:val="20"/>
        </w:rPr>
      </w:pPr>
      <w:r>
        <w:rPr>
          <w:noProof/>
        </w:rPr>
        <w:drawing>
          <wp:inline distT="0" distB="0" distL="0" distR="0" wp14:anchorId="0583E3C0" wp14:editId="59E4209D">
            <wp:extent cx="5540375" cy="2470150"/>
            <wp:effectExtent l="0" t="0" r="0" b="0"/>
            <wp:docPr id="294618990" name="Chart 1">
              <a:extLst xmlns:a="http://schemas.openxmlformats.org/drawingml/2006/main">
                <a:ext uri="{FF2B5EF4-FFF2-40B4-BE49-F238E27FC236}">
                  <a16:creationId xmlns:a16="http://schemas.microsoft.com/office/drawing/2014/main" id="{2A80694C-C50B-8292-C01F-1C3F3C22392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sidR="00F71F24">
        <w:rPr>
          <w:b/>
          <w:bCs/>
          <w:sz w:val="20"/>
          <w:szCs w:val="20"/>
        </w:rPr>
        <w:br/>
      </w:r>
      <w:r w:rsidR="00706934" w:rsidRPr="00821189">
        <w:rPr>
          <w:b/>
          <w:bCs/>
          <w:sz w:val="20"/>
          <w:szCs w:val="20"/>
        </w:rPr>
        <w:t xml:space="preserve">Graph </w:t>
      </w:r>
      <w:r w:rsidR="000B2610">
        <w:rPr>
          <w:b/>
          <w:bCs/>
          <w:sz w:val="20"/>
          <w:szCs w:val="20"/>
        </w:rPr>
        <w:t>5</w:t>
      </w:r>
      <w:r w:rsidR="00706934" w:rsidRPr="00821189">
        <w:rPr>
          <w:b/>
          <w:bCs/>
          <w:sz w:val="20"/>
          <w:szCs w:val="20"/>
        </w:rPr>
        <w:t xml:space="preserve">: </w:t>
      </w:r>
      <w:r w:rsidR="00706934" w:rsidRPr="00B4241B">
        <w:rPr>
          <w:sz w:val="20"/>
          <w:szCs w:val="20"/>
        </w:rPr>
        <w:t>Number and reappointment rate of guardianship matters</w:t>
      </w:r>
      <w:r w:rsidR="00706934" w:rsidRPr="00273B01">
        <w:rPr>
          <w:sz w:val="20"/>
          <w:szCs w:val="20"/>
        </w:rPr>
        <w:t xml:space="preserve"> by year</w:t>
      </w:r>
      <w:r w:rsidR="00706934">
        <w:rPr>
          <w:sz w:val="20"/>
          <w:szCs w:val="20"/>
        </w:rPr>
        <w:t>, for people 65 and over</w:t>
      </w:r>
      <w:r w:rsidR="00706934" w:rsidRPr="00B4241B">
        <w:rPr>
          <w:sz w:val="20"/>
          <w:szCs w:val="20"/>
        </w:rPr>
        <w:t>.</w:t>
      </w:r>
    </w:p>
    <w:p w14:paraId="21352ABF" w14:textId="77777777" w:rsidR="000677DD" w:rsidRDefault="000677DD" w:rsidP="0086044D"/>
    <w:p w14:paraId="3C0794C7" w14:textId="04E35B60" w:rsidR="00983303" w:rsidRDefault="00983303" w:rsidP="0086044D">
      <w:r w:rsidRPr="00983303">
        <w:t xml:space="preserve">In terms of total numbers, </w:t>
      </w:r>
      <w:r w:rsidR="000A733A" w:rsidRPr="00983303">
        <w:t>between 2017</w:t>
      </w:r>
      <w:r w:rsidR="003C7284">
        <w:t>/</w:t>
      </w:r>
      <w:r w:rsidR="000A733A" w:rsidRPr="00983303">
        <w:t>18 and 2022</w:t>
      </w:r>
      <w:r w:rsidR="003C7284">
        <w:t>/</w:t>
      </w:r>
      <w:r w:rsidR="000A733A" w:rsidRPr="00983303">
        <w:t>23</w:t>
      </w:r>
      <w:r w:rsidR="000A733A">
        <w:t xml:space="preserve"> </w:t>
      </w:r>
      <w:r w:rsidRPr="00983303">
        <w:t xml:space="preserve">OPA was guardian to a growing number of people </w:t>
      </w:r>
      <w:r w:rsidR="00DA4585">
        <w:t>aged</w:t>
      </w:r>
      <w:r w:rsidRPr="00983303">
        <w:t xml:space="preserve"> </w:t>
      </w:r>
      <w:r w:rsidR="00DF79ED">
        <w:t>18–</w:t>
      </w:r>
      <w:r w:rsidRPr="00983303">
        <w:t>6</w:t>
      </w:r>
      <w:r w:rsidR="00083B2E">
        <w:t>4</w:t>
      </w:r>
      <w:r w:rsidR="00DF79ED">
        <w:t>,</w:t>
      </w:r>
      <w:r w:rsidRPr="00983303">
        <w:t xml:space="preserve"> but that number appears to be starting to trend </w:t>
      </w:r>
      <w:r w:rsidR="005339D6">
        <w:t xml:space="preserve">slightly </w:t>
      </w:r>
      <w:r w:rsidRPr="00983303">
        <w:t>downward.</w:t>
      </w:r>
      <w:r w:rsidR="00866C20">
        <w:t xml:space="preserve"> OPA has been guardian to a </w:t>
      </w:r>
      <w:r w:rsidR="00C13815">
        <w:t xml:space="preserve">steadily </w:t>
      </w:r>
      <w:r w:rsidR="00866C20">
        <w:t xml:space="preserve">declining number of people </w:t>
      </w:r>
      <w:r w:rsidR="00A662A9">
        <w:t xml:space="preserve">aged </w:t>
      </w:r>
      <w:r w:rsidR="00866C20">
        <w:t xml:space="preserve">over 65 </w:t>
      </w:r>
      <w:r w:rsidR="00D86016">
        <w:t>across this period.</w:t>
      </w:r>
    </w:p>
    <w:p w14:paraId="1C3F9B8B" w14:textId="77777777" w:rsidR="00EA146F" w:rsidRDefault="00EA146F">
      <w:pPr>
        <w:rPr>
          <w:rFonts w:asciiTheme="majorHAnsi" w:eastAsiaTheme="majorEastAsia" w:hAnsiTheme="majorHAnsi" w:cstheme="majorBidi"/>
          <w:color w:val="0F4761" w:themeColor="accent1" w:themeShade="BF"/>
          <w:sz w:val="40"/>
          <w:szCs w:val="40"/>
        </w:rPr>
      </w:pPr>
      <w:r>
        <w:br w:type="page"/>
      </w:r>
    </w:p>
    <w:p w14:paraId="508674A6" w14:textId="1A968A2D" w:rsidR="00C12B54" w:rsidRDefault="00C12B54" w:rsidP="00A55EAB">
      <w:pPr>
        <w:pStyle w:val="Heading1"/>
        <w:spacing w:before="0"/>
      </w:pPr>
      <w:bookmarkStart w:id="10" w:name="_Toc200963473"/>
      <w:r>
        <w:lastRenderedPageBreak/>
        <w:t>Multiple appointments</w:t>
      </w:r>
      <w:bookmarkEnd w:id="10"/>
    </w:p>
    <w:p w14:paraId="5135D9B9" w14:textId="77777777" w:rsidR="00C12B54" w:rsidRDefault="00C12B54" w:rsidP="00C12B54">
      <w:pPr>
        <w:pStyle w:val="Heading2"/>
      </w:pPr>
      <w:bookmarkStart w:id="11" w:name="_Toc200963474"/>
      <w:r>
        <w:t>Method</w:t>
      </w:r>
      <w:bookmarkEnd w:id="11"/>
    </w:p>
    <w:p w14:paraId="19EE6ABF" w14:textId="54091A84" w:rsidR="00C12B54" w:rsidRDefault="00C12B54" w:rsidP="00C12B54">
      <w:r>
        <w:t xml:space="preserve">The reappointment cohort was identified by taking </w:t>
      </w:r>
      <w:r w:rsidR="001B48BF">
        <w:t xml:space="preserve">all orders </w:t>
      </w:r>
      <w:r>
        <w:t>received from VCAT between 1 July 2023 and 30 June 2024</w:t>
      </w:r>
      <w:r w:rsidR="001B48BF">
        <w:t xml:space="preserve"> </w:t>
      </w:r>
      <w:r>
        <w:t>and looking for past orders that related to these individuals. This criteri</w:t>
      </w:r>
      <w:r w:rsidR="00ED76B0">
        <w:t>on</w:t>
      </w:r>
      <w:r>
        <w:t xml:space="preserve"> was further narrowed to people whose most recent order was a ‘reappointment’ (or continuation of guardianship, without a break, </w:t>
      </w:r>
      <w:r w:rsidR="00783DED">
        <w:t>when</w:t>
      </w:r>
      <w:r>
        <w:t xml:space="preserve"> prior order</w:t>
      </w:r>
      <w:r w:rsidR="00783DED">
        <w:t xml:space="preserve"> was reassessed</w:t>
      </w:r>
      <w:r>
        <w:t xml:space="preserve">) </w:t>
      </w:r>
      <w:r w:rsidR="00052424">
        <w:t>rather than</w:t>
      </w:r>
      <w:r>
        <w:t xml:space="preserve"> </w:t>
      </w:r>
      <w:r w:rsidR="00052424">
        <w:t xml:space="preserve">the outcome of </w:t>
      </w:r>
      <w:r>
        <w:t>a new application for guardianship.</w:t>
      </w:r>
    </w:p>
    <w:p w14:paraId="6A81E160" w14:textId="1143B71F" w:rsidR="00C12B54" w:rsidRDefault="00052424" w:rsidP="00C12B54">
      <w:r w:rsidRPr="00B7244D">
        <w:t xml:space="preserve">The identification method included all past orders, not just </w:t>
      </w:r>
      <w:r w:rsidR="005852DD">
        <w:t>consecutive or</w:t>
      </w:r>
      <w:r w:rsidRPr="00B7244D">
        <w:t>ders</w:t>
      </w:r>
      <w:r w:rsidR="001F7B55" w:rsidRPr="00B7244D">
        <w:t>. T</w:t>
      </w:r>
      <w:r w:rsidRPr="00B7244D">
        <w:t xml:space="preserve">hat is, apart from those relating to the 2-order cohort, </w:t>
      </w:r>
      <w:r w:rsidR="002E181D">
        <w:t>sometimes there was a break in the periods of guardianship</w:t>
      </w:r>
      <w:r w:rsidRPr="00B7244D">
        <w:t>.</w:t>
      </w:r>
      <w:r>
        <w:t xml:space="preserve"> </w:t>
      </w:r>
    </w:p>
    <w:p w14:paraId="2441FDF3" w14:textId="62B73C4C" w:rsidR="00062A6A" w:rsidRDefault="00C12B54" w:rsidP="00793C35">
      <w:r w:rsidRPr="52D60A89">
        <w:t xml:space="preserve">Having identified ‘multiple appointment’ individuals, </w:t>
      </w:r>
      <w:r w:rsidR="00593A8A">
        <w:t xml:space="preserve">analysis </w:t>
      </w:r>
      <w:r w:rsidR="00431095">
        <w:t xml:space="preserve">was undertaken to seek to </w:t>
      </w:r>
      <w:r w:rsidR="00315F0F">
        <w:t xml:space="preserve">identify similarities and differences between and within the groups of multiple </w:t>
      </w:r>
      <w:r w:rsidR="00C61260">
        <w:t xml:space="preserve">versus single appointment cohorts. </w:t>
      </w:r>
    </w:p>
    <w:p w14:paraId="61BDEB22" w14:textId="59978123" w:rsidR="00C12B54" w:rsidRDefault="00C12B54" w:rsidP="00C12B54">
      <w:pPr>
        <w:pStyle w:val="Heading4"/>
      </w:pPr>
      <w:r>
        <w:t>Limitations</w:t>
      </w:r>
    </w:p>
    <w:p w14:paraId="4DF25DC7" w14:textId="47A19F3F" w:rsidR="00C12B54" w:rsidRDefault="00C12B54" w:rsidP="00C12B54">
      <w:r>
        <w:t>This report focus</w:t>
      </w:r>
      <w:r w:rsidR="005A2741">
        <w:t>es</w:t>
      </w:r>
      <w:r>
        <w:t xml:space="preserve"> on people who have had the Public Advocate appointed as guardian over several years. ‘OPA guardianship’ is the term used to refer to this. </w:t>
      </w:r>
    </w:p>
    <w:p w14:paraId="39A8831F" w14:textId="1339A0E7" w:rsidR="00062A6A" w:rsidRDefault="00C12B54" w:rsidP="008A6FB1">
      <w:pPr>
        <w:spacing w:after="0"/>
      </w:pPr>
      <w:r w:rsidRPr="34854EE5">
        <w:t xml:space="preserve">This report does not examine the experience of people who have had a private guardian appointed over several years. </w:t>
      </w:r>
      <w:proofErr w:type="gramStart"/>
      <w:r w:rsidRPr="34854EE5">
        <w:t>In the event that</w:t>
      </w:r>
      <w:proofErr w:type="gramEnd"/>
      <w:r w:rsidRPr="34854EE5">
        <w:t xml:space="preserve"> a person has the Public Advocate appointed initially and another person subsequently appointed as guardian, or vice versa, the data does not capture these additional years of guardianship experience. </w:t>
      </w:r>
    </w:p>
    <w:p w14:paraId="0CCEBBA0" w14:textId="77777777" w:rsidR="00C12B54" w:rsidRDefault="00C12B54" w:rsidP="008A6FB1">
      <w:pPr>
        <w:pStyle w:val="Heading2"/>
      </w:pPr>
      <w:bookmarkStart w:id="12" w:name="_Toc200963475"/>
      <w:r>
        <w:t>Gender</w:t>
      </w:r>
      <w:bookmarkEnd w:id="12"/>
    </w:p>
    <w:p w14:paraId="7200A4B1" w14:textId="0EDDEF3A" w:rsidR="00C12B54" w:rsidRDefault="00C12B54" w:rsidP="00C12B54">
      <w:r>
        <w:t>Men are statistically more likely to be subject to guardianship across all cohorts (single order and reappointments). Interestingly, women are slightly more likely to be subject to multiple orders than a single order.</w:t>
      </w:r>
    </w:p>
    <w:tbl>
      <w:tblPr>
        <w:tblW w:w="6523"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
        <w:gridCol w:w="1053"/>
        <w:gridCol w:w="1053"/>
        <w:gridCol w:w="1053"/>
        <w:gridCol w:w="1236"/>
        <w:gridCol w:w="1236"/>
      </w:tblGrid>
      <w:tr w:rsidR="00FE2896" w:rsidRPr="00AD44A1" w14:paraId="5B2432B4" w14:textId="3EA4D79F" w:rsidTr="000B64B8">
        <w:trPr>
          <w:trHeight w:val="285"/>
          <w:jc w:val="center"/>
        </w:trPr>
        <w:tc>
          <w:tcPr>
            <w:tcW w:w="892"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1DBB03A7" w14:textId="77777777" w:rsidR="00FE2896" w:rsidRPr="00B83C14" w:rsidRDefault="00FE2896" w:rsidP="00B83C14">
            <w:pPr>
              <w:spacing w:after="0"/>
              <w:jc w:val="center"/>
              <w:rPr>
                <w:sz w:val="20"/>
                <w:szCs w:val="20"/>
              </w:rPr>
            </w:pPr>
            <w:r w:rsidRPr="00B83C14">
              <w:rPr>
                <w:b/>
                <w:bCs/>
                <w:sz w:val="20"/>
                <w:szCs w:val="20"/>
              </w:rPr>
              <w:t>Gender</w:t>
            </w:r>
          </w:p>
        </w:tc>
        <w:tc>
          <w:tcPr>
            <w:tcW w:w="1053"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2F882744" w14:textId="241373EE" w:rsidR="00FE2896" w:rsidRPr="00FE2896" w:rsidRDefault="00FE2896" w:rsidP="00FE2896">
            <w:pPr>
              <w:spacing w:after="0"/>
              <w:jc w:val="center"/>
              <w:rPr>
                <w:sz w:val="20"/>
                <w:szCs w:val="20"/>
              </w:rPr>
            </w:pPr>
            <w:r w:rsidRPr="00B83C14">
              <w:rPr>
                <w:sz w:val="20"/>
                <w:szCs w:val="20"/>
              </w:rPr>
              <w:t>1 order</w:t>
            </w:r>
          </w:p>
        </w:tc>
        <w:tc>
          <w:tcPr>
            <w:tcW w:w="1053"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64A0B356" w14:textId="6B9E84F9" w:rsidR="00FE2896" w:rsidRPr="00FE2896" w:rsidRDefault="00FE2896" w:rsidP="00FE2896">
            <w:pPr>
              <w:spacing w:after="0"/>
              <w:jc w:val="center"/>
              <w:rPr>
                <w:sz w:val="20"/>
                <w:szCs w:val="20"/>
              </w:rPr>
            </w:pPr>
            <w:r w:rsidRPr="00B83C14">
              <w:rPr>
                <w:sz w:val="20"/>
                <w:szCs w:val="20"/>
              </w:rPr>
              <w:t>2 orders</w:t>
            </w:r>
          </w:p>
        </w:tc>
        <w:tc>
          <w:tcPr>
            <w:tcW w:w="1053"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001BE44E" w14:textId="246445F5" w:rsidR="00FE2896" w:rsidRPr="00FE2896" w:rsidRDefault="00FE2896" w:rsidP="00FE2896">
            <w:pPr>
              <w:spacing w:after="0"/>
              <w:jc w:val="center"/>
              <w:rPr>
                <w:sz w:val="20"/>
                <w:szCs w:val="20"/>
              </w:rPr>
            </w:pPr>
            <w:r w:rsidRPr="00B83C14">
              <w:rPr>
                <w:sz w:val="20"/>
                <w:szCs w:val="20"/>
              </w:rPr>
              <w:t xml:space="preserve">3-5 orders </w:t>
            </w:r>
          </w:p>
        </w:tc>
        <w:tc>
          <w:tcPr>
            <w:tcW w:w="1236"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2A87E022" w14:textId="7A27F482" w:rsidR="00FE2896" w:rsidRPr="00B83C14" w:rsidRDefault="00FE2896" w:rsidP="00B83C14">
            <w:pPr>
              <w:spacing w:after="0"/>
              <w:jc w:val="center"/>
              <w:rPr>
                <w:sz w:val="20"/>
                <w:szCs w:val="20"/>
              </w:rPr>
            </w:pPr>
            <w:r w:rsidRPr="00B83C14">
              <w:rPr>
                <w:sz w:val="20"/>
                <w:szCs w:val="20"/>
              </w:rPr>
              <w:t xml:space="preserve">6+ orders </w:t>
            </w:r>
          </w:p>
        </w:tc>
        <w:tc>
          <w:tcPr>
            <w:tcW w:w="1236" w:type="dxa"/>
            <w:tcBorders>
              <w:top w:val="single" w:sz="6" w:space="0" w:color="auto"/>
              <w:left w:val="single" w:sz="6" w:space="0" w:color="auto"/>
              <w:bottom w:val="single" w:sz="6" w:space="0" w:color="auto"/>
              <w:right w:val="single" w:sz="6" w:space="0" w:color="auto"/>
            </w:tcBorders>
            <w:shd w:val="clear" w:color="auto" w:fill="C1E4F5" w:themeFill="accent1" w:themeFillTint="33"/>
          </w:tcPr>
          <w:p w14:paraId="54F0B2DF" w14:textId="40A5A53C" w:rsidR="00FE2896" w:rsidRPr="00FE2896" w:rsidRDefault="00E655DB" w:rsidP="00FE2896">
            <w:pPr>
              <w:spacing w:after="0"/>
              <w:jc w:val="center"/>
              <w:rPr>
                <w:sz w:val="20"/>
                <w:szCs w:val="20"/>
              </w:rPr>
            </w:pPr>
            <w:r>
              <w:rPr>
                <w:sz w:val="20"/>
                <w:szCs w:val="20"/>
              </w:rPr>
              <w:t>Average</w:t>
            </w:r>
          </w:p>
        </w:tc>
      </w:tr>
      <w:tr w:rsidR="00E655DB" w:rsidRPr="00AD44A1" w14:paraId="08F65348" w14:textId="77777777" w:rsidTr="000B64B8">
        <w:trPr>
          <w:trHeight w:val="285"/>
          <w:jc w:val="center"/>
        </w:trPr>
        <w:tc>
          <w:tcPr>
            <w:tcW w:w="892"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2934AC5F" w14:textId="77777777" w:rsidR="00E655DB" w:rsidRPr="00E655DB" w:rsidRDefault="00E655DB" w:rsidP="00FE2896">
            <w:pPr>
              <w:spacing w:after="0"/>
              <w:rPr>
                <w:b/>
                <w:bCs/>
                <w:sz w:val="20"/>
                <w:szCs w:val="20"/>
              </w:rPr>
            </w:pPr>
          </w:p>
        </w:tc>
        <w:tc>
          <w:tcPr>
            <w:tcW w:w="1053"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64C58BFB" w14:textId="3A3BCDC5" w:rsidR="00E655DB" w:rsidRPr="00E655DB" w:rsidRDefault="00E655DB" w:rsidP="00FE2896">
            <w:pPr>
              <w:spacing w:after="0"/>
              <w:jc w:val="center"/>
              <w:rPr>
                <w:sz w:val="20"/>
                <w:szCs w:val="20"/>
              </w:rPr>
            </w:pPr>
            <w:r w:rsidRPr="0028074B">
              <w:rPr>
                <w:sz w:val="20"/>
                <w:szCs w:val="20"/>
              </w:rPr>
              <w:t>n=4</w:t>
            </w:r>
            <w:r w:rsidR="006206AD">
              <w:rPr>
                <w:sz w:val="20"/>
                <w:szCs w:val="20"/>
              </w:rPr>
              <w:t>40</w:t>
            </w:r>
          </w:p>
        </w:tc>
        <w:tc>
          <w:tcPr>
            <w:tcW w:w="1053"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0998035D" w14:textId="5ECADEAA" w:rsidR="00E655DB" w:rsidRPr="00E655DB" w:rsidRDefault="00E655DB" w:rsidP="00FE2896">
            <w:pPr>
              <w:spacing w:after="0"/>
              <w:jc w:val="center"/>
              <w:rPr>
                <w:sz w:val="20"/>
                <w:szCs w:val="20"/>
              </w:rPr>
            </w:pPr>
            <w:r w:rsidRPr="00D45D3D">
              <w:rPr>
                <w:sz w:val="20"/>
                <w:szCs w:val="20"/>
              </w:rPr>
              <w:t>n=</w:t>
            </w:r>
            <w:r w:rsidR="005B05E6">
              <w:rPr>
                <w:sz w:val="20"/>
                <w:szCs w:val="20"/>
              </w:rPr>
              <w:t>133</w:t>
            </w:r>
          </w:p>
        </w:tc>
        <w:tc>
          <w:tcPr>
            <w:tcW w:w="1053"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27C5BED5" w14:textId="132733B0" w:rsidR="00E655DB" w:rsidRPr="00E655DB" w:rsidRDefault="00E655DB" w:rsidP="00FE2896">
            <w:pPr>
              <w:spacing w:after="0"/>
              <w:jc w:val="center"/>
              <w:rPr>
                <w:sz w:val="20"/>
                <w:szCs w:val="20"/>
              </w:rPr>
            </w:pPr>
            <w:r w:rsidRPr="00C0522F">
              <w:rPr>
                <w:sz w:val="20"/>
                <w:szCs w:val="20"/>
              </w:rPr>
              <w:t>n=</w:t>
            </w:r>
            <w:r w:rsidR="002412F3">
              <w:rPr>
                <w:sz w:val="20"/>
                <w:szCs w:val="20"/>
              </w:rPr>
              <w:t>201</w:t>
            </w:r>
          </w:p>
        </w:tc>
        <w:tc>
          <w:tcPr>
            <w:tcW w:w="1236"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tcPr>
          <w:p w14:paraId="6836C61F" w14:textId="417C5FCD" w:rsidR="00E655DB" w:rsidRPr="00E655DB" w:rsidRDefault="00E655DB" w:rsidP="00FE2896">
            <w:pPr>
              <w:spacing w:after="0"/>
              <w:jc w:val="center"/>
              <w:rPr>
                <w:sz w:val="20"/>
                <w:szCs w:val="20"/>
              </w:rPr>
            </w:pPr>
            <w:r w:rsidRPr="00A86356">
              <w:rPr>
                <w:sz w:val="20"/>
                <w:szCs w:val="20"/>
              </w:rPr>
              <w:t>n=41</w:t>
            </w:r>
          </w:p>
        </w:tc>
        <w:tc>
          <w:tcPr>
            <w:tcW w:w="1236" w:type="dxa"/>
            <w:tcBorders>
              <w:top w:val="single" w:sz="6" w:space="0" w:color="auto"/>
              <w:left w:val="single" w:sz="6" w:space="0" w:color="auto"/>
              <w:bottom w:val="single" w:sz="6" w:space="0" w:color="auto"/>
              <w:right w:val="single" w:sz="6" w:space="0" w:color="auto"/>
            </w:tcBorders>
            <w:shd w:val="clear" w:color="auto" w:fill="C1E4F5" w:themeFill="accent1" w:themeFillTint="33"/>
          </w:tcPr>
          <w:p w14:paraId="185B7DD0" w14:textId="0F01B4B1" w:rsidR="00E655DB" w:rsidRPr="00FE2896" w:rsidRDefault="000B7C43" w:rsidP="00FE2896">
            <w:pPr>
              <w:spacing w:after="0"/>
              <w:jc w:val="center"/>
              <w:rPr>
                <w:sz w:val="20"/>
                <w:szCs w:val="20"/>
              </w:rPr>
            </w:pPr>
            <w:r>
              <w:rPr>
                <w:sz w:val="20"/>
                <w:szCs w:val="20"/>
              </w:rPr>
              <w:t>n=815</w:t>
            </w:r>
          </w:p>
        </w:tc>
      </w:tr>
      <w:tr w:rsidR="00FE2896" w:rsidRPr="00AD44A1" w14:paraId="31A0680B" w14:textId="6E149BCE" w:rsidTr="00B83C14">
        <w:trPr>
          <w:trHeight w:val="285"/>
          <w:jc w:val="center"/>
        </w:trPr>
        <w:tc>
          <w:tcPr>
            <w:tcW w:w="8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16BA05A0" w14:textId="77777777" w:rsidR="00FE2896" w:rsidRPr="00B83C14" w:rsidRDefault="00FE2896" w:rsidP="00B83C14">
            <w:pPr>
              <w:spacing w:after="0"/>
              <w:jc w:val="center"/>
              <w:rPr>
                <w:sz w:val="20"/>
                <w:szCs w:val="20"/>
              </w:rPr>
            </w:pPr>
            <w:r w:rsidRPr="00B83C14">
              <w:rPr>
                <w:sz w:val="20"/>
                <w:szCs w:val="20"/>
              </w:rPr>
              <w:t>Male</w:t>
            </w:r>
          </w:p>
        </w:tc>
        <w:tc>
          <w:tcPr>
            <w:tcW w:w="1053" w:type="dxa"/>
            <w:tcBorders>
              <w:top w:val="single" w:sz="6" w:space="0" w:color="auto"/>
              <w:left w:val="single" w:sz="6" w:space="0" w:color="auto"/>
              <w:bottom w:val="single" w:sz="6" w:space="0" w:color="auto"/>
              <w:right w:val="single" w:sz="6" w:space="0" w:color="auto"/>
            </w:tcBorders>
            <w:vAlign w:val="center"/>
          </w:tcPr>
          <w:p w14:paraId="2AADA9D3" w14:textId="17F7699A" w:rsidR="00FE2896" w:rsidRPr="00FE2896" w:rsidRDefault="00FE2896" w:rsidP="00FE2896">
            <w:pPr>
              <w:spacing w:after="0"/>
              <w:jc w:val="center"/>
              <w:rPr>
                <w:sz w:val="20"/>
                <w:szCs w:val="20"/>
              </w:rPr>
            </w:pPr>
            <w:r w:rsidRPr="00B83C14">
              <w:rPr>
                <w:sz w:val="20"/>
                <w:szCs w:val="20"/>
              </w:rPr>
              <w:t>56.</w:t>
            </w:r>
            <w:r w:rsidR="006B6BE1">
              <w:rPr>
                <w:sz w:val="20"/>
                <w:szCs w:val="20"/>
              </w:rPr>
              <w:t>6</w:t>
            </w:r>
            <w:r w:rsidRPr="00B83C14">
              <w:rPr>
                <w:sz w:val="20"/>
                <w:szCs w:val="20"/>
              </w:rPr>
              <w:t>%</w:t>
            </w:r>
          </w:p>
        </w:tc>
        <w:tc>
          <w:tcPr>
            <w:tcW w:w="1053" w:type="dxa"/>
            <w:tcBorders>
              <w:top w:val="single" w:sz="6" w:space="0" w:color="auto"/>
              <w:left w:val="single" w:sz="6" w:space="0" w:color="auto"/>
              <w:bottom w:val="single" w:sz="6" w:space="0" w:color="auto"/>
              <w:right w:val="single" w:sz="6" w:space="0" w:color="auto"/>
            </w:tcBorders>
            <w:vAlign w:val="center"/>
          </w:tcPr>
          <w:p w14:paraId="4D546CC4" w14:textId="37A6483F" w:rsidR="00FE2896" w:rsidRPr="00FE2896" w:rsidRDefault="00FE2896" w:rsidP="00FE2896">
            <w:pPr>
              <w:spacing w:after="0"/>
              <w:jc w:val="center"/>
              <w:rPr>
                <w:sz w:val="20"/>
                <w:szCs w:val="20"/>
              </w:rPr>
            </w:pPr>
            <w:r w:rsidRPr="00B83C14">
              <w:rPr>
                <w:sz w:val="20"/>
                <w:szCs w:val="20"/>
              </w:rPr>
              <w:t>5</w:t>
            </w:r>
            <w:r w:rsidR="00BB2E30">
              <w:rPr>
                <w:sz w:val="20"/>
                <w:szCs w:val="20"/>
              </w:rPr>
              <w:t>2.6</w:t>
            </w:r>
            <w:r w:rsidRPr="00B83C14">
              <w:rPr>
                <w:sz w:val="20"/>
                <w:szCs w:val="20"/>
              </w:rPr>
              <w:t>%</w:t>
            </w:r>
          </w:p>
        </w:tc>
        <w:tc>
          <w:tcPr>
            <w:tcW w:w="1053" w:type="dxa"/>
            <w:tcBorders>
              <w:top w:val="single" w:sz="6" w:space="0" w:color="auto"/>
              <w:left w:val="single" w:sz="6" w:space="0" w:color="auto"/>
              <w:bottom w:val="single" w:sz="6" w:space="0" w:color="auto"/>
              <w:right w:val="single" w:sz="6" w:space="0" w:color="auto"/>
            </w:tcBorders>
            <w:vAlign w:val="center"/>
          </w:tcPr>
          <w:p w14:paraId="243720AC" w14:textId="763D60F7" w:rsidR="00FE2896" w:rsidRPr="00FE2896" w:rsidRDefault="00FE2896" w:rsidP="00FE2896">
            <w:pPr>
              <w:spacing w:after="0"/>
              <w:jc w:val="center"/>
              <w:rPr>
                <w:sz w:val="20"/>
                <w:szCs w:val="20"/>
              </w:rPr>
            </w:pPr>
            <w:r w:rsidRPr="00B83C14">
              <w:rPr>
                <w:sz w:val="20"/>
                <w:szCs w:val="20"/>
              </w:rPr>
              <w:t>52.</w:t>
            </w:r>
            <w:r w:rsidR="00742DB1">
              <w:rPr>
                <w:sz w:val="20"/>
                <w:szCs w:val="20"/>
              </w:rPr>
              <w:t>2</w:t>
            </w:r>
            <w:r w:rsidRPr="00B83C14">
              <w:rPr>
                <w:sz w:val="20"/>
                <w:szCs w:val="20"/>
              </w:rPr>
              <w:t>%</w:t>
            </w:r>
          </w:p>
        </w:tc>
        <w:tc>
          <w:tcPr>
            <w:tcW w:w="12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976839E" w14:textId="12B79AD7" w:rsidR="00FE2896" w:rsidRPr="00B83C14" w:rsidRDefault="00FE2896" w:rsidP="00B83C14">
            <w:pPr>
              <w:spacing w:after="0"/>
              <w:jc w:val="center"/>
              <w:rPr>
                <w:sz w:val="20"/>
                <w:szCs w:val="20"/>
              </w:rPr>
            </w:pPr>
            <w:r w:rsidRPr="00B83C14">
              <w:rPr>
                <w:sz w:val="20"/>
                <w:szCs w:val="20"/>
              </w:rPr>
              <w:t>53.7%</w:t>
            </w:r>
          </w:p>
        </w:tc>
        <w:tc>
          <w:tcPr>
            <w:tcW w:w="1236" w:type="dxa"/>
            <w:tcBorders>
              <w:top w:val="single" w:sz="6" w:space="0" w:color="auto"/>
              <w:left w:val="single" w:sz="6" w:space="0" w:color="auto"/>
              <w:bottom w:val="single" w:sz="6" w:space="0" w:color="auto"/>
              <w:right w:val="single" w:sz="6" w:space="0" w:color="auto"/>
            </w:tcBorders>
          </w:tcPr>
          <w:p w14:paraId="27AA116B" w14:textId="0F95AFDF" w:rsidR="00FE2896" w:rsidRPr="00FE2896" w:rsidRDefault="001260AD" w:rsidP="00FE2896">
            <w:pPr>
              <w:spacing w:after="0"/>
              <w:jc w:val="center"/>
              <w:rPr>
                <w:sz w:val="20"/>
                <w:szCs w:val="20"/>
              </w:rPr>
            </w:pPr>
            <w:r>
              <w:rPr>
                <w:sz w:val="20"/>
                <w:szCs w:val="20"/>
              </w:rPr>
              <w:t>54.8%</w:t>
            </w:r>
          </w:p>
        </w:tc>
      </w:tr>
      <w:tr w:rsidR="00FE2896" w:rsidRPr="00AD44A1" w14:paraId="1748D37D" w14:textId="7D1CAE3A" w:rsidTr="00B83C14">
        <w:trPr>
          <w:trHeight w:val="285"/>
          <w:jc w:val="center"/>
        </w:trPr>
        <w:tc>
          <w:tcPr>
            <w:tcW w:w="892"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71C42B82" w14:textId="77777777" w:rsidR="00FE2896" w:rsidRPr="00B83C14" w:rsidRDefault="00FE2896" w:rsidP="00B83C14">
            <w:pPr>
              <w:spacing w:after="0"/>
              <w:jc w:val="center"/>
              <w:rPr>
                <w:sz w:val="20"/>
                <w:szCs w:val="20"/>
              </w:rPr>
            </w:pPr>
            <w:r w:rsidRPr="00B83C14">
              <w:rPr>
                <w:sz w:val="20"/>
                <w:szCs w:val="20"/>
              </w:rPr>
              <w:t>Female</w:t>
            </w:r>
          </w:p>
        </w:tc>
        <w:tc>
          <w:tcPr>
            <w:tcW w:w="1053" w:type="dxa"/>
            <w:tcBorders>
              <w:top w:val="single" w:sz="6" w:space="0" w:color="auto"/>
              <w:left w:val="single" w:sz="6" w:space="0" w:color="auto"/>
              <w:bottom w:val="single" w:sz="6" w:space="0" w:color="auto"/>
              <w:right w:val="single" w:sz="6" w:space="0" w:color="auto"/>
            </w:tcBorders>
            <w:vAlign w:val="center"/>
          </w:tcPr>
          <w:p w14:paraId="7E387D5C" w14:textId="5EBE2958" w:rsidR="00FE2896" w:rsidRPr="00FE2896" w:rsidRDefault="00FE2896" w:rsidP="00FE2896">
            <w:pPr>
              <w:spacing w:after="0"/>
              <w:jc w:val="center"/>
              <w:rPr>
                <w:sz w:val="20"/>
                <w:szCs w:val="20"/>
              </w:rPr>
            </w:pPr>
            <w:r w:rsidRPr="00B83C14">
              <w:rPr>
                <w:sz w:val="20"/>
                <w:szCs w:val="20"/>
              </w:rPr>
              <w:t>43.</w:t>
            </w:r>
            <w:r w:rsidR="00466730">
              <w:rPr>
                <w:sz w:val="20"/>
                <w:szCs w:val="20"/>
              </w:rPr>
              <w:t>4</w:t>
            </w:r>
            <w:r w:rsidRPr="00B83C14">
              <w:rPr>
                <w:sz w:val="20"/>
                <w:szCs w:val="20"/>
              </w:rPr>
              <w:t>%</w:t>
            </w:r>
          </w:p>
        </w:tc>
        <w:tc>
          <w:tcPr>
            <w:tcW w:w="1053" w:type="dxa"/>
            <w:tcBorders>
              <w:top w:val="single" w:sz="6" w:space="0" w:color="auto"/>
              <w:left w:val="single" w:sz="6" w:space="0" w:color="auto"/>
              <w:bottom w:val="single" w:sz="6" w:space="0" w:color="auto"/>
              <w:right w:val="single" w:sz="6" w:space="0" w:color="auto"/>
            </w:tcBorders>
            <w:vAlign w:val="center"/>
          </w:tcPr>
          <w:p w14:paraId="75DE7BA7" w14:textId="668DB196" w:rsidR="00FE2896" w:rsidRPr="00FE2896" w:rsidRDefault="00FE2896" w:rsidP="00FE2896">
            <w:pPr>
              <w:spacing w:after="0"/>
              <w:jc w:val="center"/>
              <w:rPr>
                <w:sz w:val="20"/>
                <w:szCs w:val="20"/>
              </w:rPr>
            </w:pPr>
            <w:r w:rsidRPr="00B83C14">
              <w:rPr>
                <w:sz w:val="20"/>
                <w:szCs w:val="20"/>
              </w:rPr>
              <w:t>4</w:t>
            </w:r>
            <w:r w:rsidR="00A53B7B">
              <w:rPr>
                <w:sz w:val="20"/>
                <w:szCs w:val="20"/>
              </w:rPr>
              <w:t>6.</w:t>
            </w:r>
            <w:r w:rsidR="00612C4B">
              <w:rPr>
                <w:sz w:val="20"/>
                <w:szCs w:val="20"/>
              </w:rPr>
              <w:t>6</w:t>
            </w:r>
            <w:r w:rsidRPr="00B83C14">
              <w:rPr>
                <w:sz w:val="20"/>
                <w:szCs w:val="20"/>
              </w:rPr>
              <w:t>%</w:t>
            </w:r>
          </w:p>
        </w:tc>
        <w:tc>
          <w:tcPr>
            <w:tcW w:w="1053" w:type="dxa"/>
            <w:tcBorders>
              <w:top w:val="single" w:sz="6" w:space="0" w:color="auto"/>
              <w:left w:val="single" w:sz="6" w:space="0" w:color="auto"/>
              <w:bottom w:val="single" w:sz="6" w:space="0" w:color="auto"/>
              <w:right w:val="single" w:sz="6" w:space="0" w:color="auto"/>
            </w:tcBorders>
            <w:vAlign w:val="center"/>
          </w:tcPr>
          <w:p w14:paraId="76EEDFFC" w14:textId="6567E00F" w:rsidR="00FE2896" w:rsidRPr="00FE2896" w:rsidRDefault="00FE2896" w:rsidP="00FE2896">
            <w:pPr>
              <w:spacing w:after="0"/>
              <w:jc w:val="center"/>
              <w:rPr>
                <w:sz w:val="20"/>
                <w:szCs w:val="20"/>
              </w:rPr>
            </w:pPr>
            <w:r w:rsidRPr="00B83C14">
              <w:rPr>
                <w:sz w:val="20"/>
                <w:szCs w:val="20"/>
              </w:rPr>
              <w:t>47.</w:t>
            </w:r>
            <w:r w:rsidR="00742DB1">
              <w:rPr>
                <w:sz w:val="20"/>
                <w:szCs w:val="20"/>
              </w:rPr>
              <w:t>8</w:t>
            </w:r>
            <w:r w:rsidRPr="00B83C14">
              <w:rPr>
                <w:sz w:val="20"/>
                <w:szCs w:val="20"/>
              </w:rPr>
              <w:t>%</w:t>
            </w:r>
          </w:p>
        </w:tc>
        <w:tc>
          <w:tcPr>
            <w:tcW w:w="1236"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DC61F4D" w14:textId="5D303513" w:rsidR="00FE2896" w:rsidRPr="00B83C14" w:rsidRDefault="00FE2896" w:rsidP="00B83C14">
            <w:pPr>
              <w:spacing w:after="0"/>
              <w:jc w:val="center"/>
              <w:rPr>
                <w:sz w:val="20"/>
                <w:szCs w:val="20"/>
              </w:rPr>
            </w:pPr>
            <w:r w:rsidRPr="00B83C14">
              <w:rPr>
                <w:sz w:val="20"/>
                <w:szCs w:val="20"/>
              </w:rPr>
              <w:t>46.3%</w:t>
            </w:r>
          </w:p>
        </w:tc>
        <w:tc>
          <w:tcPr>
            <w:tcW w:w="1236" w:type="dxa"/>
            <w:tcBorders>
              <w:top w:val="single" w:sz="6" w:space="0" w:color="auto"/>
              <w:left w:val="single" w:sz="6" w:space="0" w:color="auto"/>
              <w:bottom w:val="single" w:sz="6" w:space="0" w:color="auto"/>
              <w:right w:val="single" w:sz="6" w:space="0" w:color="auto"/>
            </w:tcBorders>
          </w:tcPr>
          <w:p w14:paraId="5054DC1C" w14:textId="1AAE5A6B" w:rsidR="00FE2896" w:rsidRPr="00FE2896" w:rsidRDefault="000B7C43" w:rsidP="00FE2896">
            <w:pPr>
              <w:spacing w:after="0"/>
              <w:jc w:val="center"/>
              <w:rPr>
                <w:sz w:val="20"/>
                <w:szCs w:val="20"/>
              </w:rPr>
            </w:pPr>
            <w:r>
              <w:rPr>
                <w:sz w:val="20"/>
                <w:szCs w:val="20"/>
              </w:rPr>
              <w:t>45.2%</w:t>
            </w:r>
          </w:p>
        </w:tc>
      </w:tr>
    </w:tbl>
    <w:p w14:paraId="5FE631C2" w14:textId="2E696859" w:rsidR="00C12B54" w:rsidRDefault="00C12B54" w:rsidP="00C12B54">
      <w:pPr>
        <w:jc w:val="center"/>
      </w:pPr>
      <w:r w:rsidRPr="00A55EAB">
        <w:rPr>
          <w:b/>
          <w:bCs/>
          <w:sz w:val="20"/>
          <w:szCs w:val="20"/>
        </w:rPr>
        <w:t xml:space="preserve">Table </w:t>
      </w:r>
      <w:r w:rsidR="00052424" w:rsidRPr="00A55EAB">
        <w:rPr>
          <w:b/>
          <w:bCs/>
          <w:sz w:val="20"/>
          <w:szCs w:val="20"/>
        </w:rPr>
        <w:t>2</w:t>
      </w:r>
      <w:r w:rsidRPr="00A55EAB">
        <w:rPr>
          <w:b/>
          <w:bCs/>
        </w:rPr>
        <w:t>:</w:t>
      </w:r>
      <w:r w:rsidRPr="00AD44A1">
        <w:t xml:space="preserve"> </w:t>
      </w:r>
      <w:r w:rsidRPr="00B51A7A">
        <w:rPr>
          <w:sz w:val="20"/>
          <w:szCs w:val="20"/>
        </w:rPr>
        <w:t>Gender by number of orders</w:t>
      </w:r>
    </w:p>
    <w:p w14:paraId="1D0FC708" w14:textId="753E52A7" w:rsidR="00C12B54" w:rsidRDefault="00C12B54" w:rsidP="008A6FB1">
      <w:pPr>
        <w:pStyle w:val="Heading2"/>
      </w:pPr>
      <w:bookmarkStart w:id="13" w:name="_Toc200963476"/>
      <w:r>
        <w:t>Age group</w:t>
      </w:r>
      <w:bookmarkEnd w:id="13"/>
    </w:p>
    <w:p w14:paraId="0153326F" w14:textId="38A0EE56" w:rsidR="00A9468E" w:rsidRDefault="00C12B54" w:rsidP="00C12B54">
      <w:r>
        <w:t>More than 80 per cent of people who had been</w:t>
      </w:r>
      <w:r w:rsidR="00005D56">
        <w:t xml:space="preserve"> </w:t>
      </w:r>
      <w:r>
        <w:t>subject to at least 3 orders</w:t>
      </w:r>
      <w:r w:rsidR="00CE197F">
        <w:rPr>
          <w:rStyle w:val="FootnoteReference"/>
        </w:rPr>
        <w:footnoteReference w:id="13"/>
      </w:r>
      <w:r>
        <w:t xml:space="preserve"> were aged </w:t>
      </w:r>
      <w:r w:rsidR="00375A24">
        <w:t>18–</w:t>
      </w:r>
      <w:r>
        <w:t>6</w:t>
      </w:r>
      <w:r w:rsidR="008D2B1A">
        <w:t>4</w:t>
      </w:r>
      <w:r>
        <w:t xml:space="preserve">, </w:t>
      </w:r>
      <w:r w:rsidR="000555BA">
        <w:t>and</w:t>
      </w:r>
      <w:r>
        <w:t xml:space="preserve"> </w:t>
      </w:r>
      <w:r w:rsidR="00005D56">
        <w:t xml:space="preserve">this age group accounted for </w:t>
      </w:r>
      <w:r>
        <w:t>9</w:t>
      </w:r>
      <w:r w:rsidR="004C5C94">
        <w:t>3</w:t>
      </w:r>
      <w:r>
        <w:t xml:space="preserve"> per cent of people subject to at least 6 orders. This is significantly different from the age profile of people who have only been subject to one order in which there is only 4</w:t>
      </w:r>
      <w:r w:rsidR="002A2183">
        <w:t>2</w:t>
      </w:r>
      <w:r>
        <w:t xml:space="preserve"> per cent aged under 65 years.</w:t>
      </w:r>
    </w:p>
    <w:tbl>
      <w:tblPr>
        <w:tblW w:w="9042"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74"/>
        <w:gridCol w:w="824"/>
        <w:gridCol w:w="995"/>
        <w:gridCol w:w="940"/>
        <w:gridCol w:w="916"/>
        <w:gridCol w:w="1062"/>
        <w:gridCol w:w="1202"/>
        <w:gridCol w:w="1057"/>
        <w:gridCol w:w="1072"/>
      </w:tblGrid>
      <w:tr w:rsidR="00C12B54" w:rsidRPr="00A9468E" w14:paraId="5F538C68" w14:textId="77777777" w:rsidTr="000B64B8">
        <w:trPr>
          <w:trHeight w:val="285"/>
          <w:jc w:val="center"/>
        </w:trPr>
        <w:tc>
          <w:tcPr>
            <w:tcW w:w="974"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6FC28C76" w14:textId="77777777" w:rsidR="00C12B54" w:rsidRPr="005905A5" w:rsidRDefault="00C12B54" w:rsidP="005905A5">
            <w:pPr>
              <w:spacing w:after="0"/>
              <w:rPr>
                <w:sz w:val="20"/>
                <w:szCs w:val="20"/>
              </w:rPr>
            </w:pPr>
          </w:p>
        </w:tc>
        <w:tc>
          <w:tcPr>
            <w:tcW w:w="1819" w:type="dxa"/>
            <w:gridSpan w:val="2"/>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1593774B" w14:textId="687A74C4" w:rsidR="00C12B54" w:rsidRPr="005905A5" w:rsidRDefault="00C12B54" w:rsidP="005905A5">
            <w:pPr>
              <w:spacing w:after="0"/>
              <w:jc w:val="center"/>
              <w:rPr>
                <w:sz w:val="20"/>
                <w:szCs w:val="20"/>
              </w:rPr>
            </w:pPr>
            <w:r w:rsidRPr="005905A5">
              <w:rPr>
                <w:b/>
                <w:bCs/>
                <w:sz w:val="20"/>
                <w:szCs w:val="20"/>
              </w:rPr>
              <w:t>1 order</w:t>
            </w:r>
            <w:r>
              <w:br/>
            </w:r>
            <w:r w:rsidRPr="003B773B">
              <w:rPr>
                <w:b/>
                <w:bCs/>
                <w:sz w:val="20"/>
                <w:szCs w:val="20"/>
              </w:rPr>
              <w:t>(n=440)</w:t>
            </w:r>
          </w:p>
        </w:tc>
        <w:tc>
          <w:tcPr>
            <w:tcW w:w="1856" w:type="dxa"/>
            <w:gridSpan w:val="2"/>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555430F7" w14:textId="77777777" w:rsidR="00C12B54" w:rsidRPr="0086044D" w:rsidRDefault="00C12B54" w:rsidP="005905A5">
            <w:pPr>
              <w:spacing w:after="0"/>
              <w:jc w:val="center"/>
              <w:rPr>
                <w:sz w:val="20"/>
                <w:szCs w:val="20"/>
              </w:rPr>
            </w:pPr>
            <w:r w:rsidRPr="0086044D">
              <w:rPr>
                <w:b/>
                <w:bCs/>
                <w:sz w:val="20"/>
                <w:szCs w:val="20"/>
              </w:rPr>
              <w:t>2 orders</w:t>
            </w:r>
            <w:r w:rsidRPr="0086044D">
              <w:rPr>
                <w:b/>
                <w:bCs/>
                <w:sz w:val="20"/>
                <w:szCs w:val="20"/>
              </w:rPr>
              <w:br/>
              <w:t>(n=133)</w:t>
            </w:r>
          </w:p>
        </w:tc>
        <w:tc>
          <w:tcPr>
            <w:tcW w:w="2264" w:type="dxa"/>
            <w:gridSpan w:val="2"/>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19E760D4" w14:textId="77777777" w:rsidR="00C12B54" w:rsidRPr="0086044D" w:rsidRDefault="00C12B54" w:rsidP="005905A5">
            <w:pPr>
              <w:spacing w:after="0"/>
              <w:jc w:val="center"/>
              <w:rPr>
                <w:sz w:val="20"/>
                <w:szCs w:val="20"/>
              </w:rPr>
            </w:pPr>
            <w:r w:rsidRPr="0086044D">
              <w:rPr>
                <w:b/>
                <w:bCs/>
                <w:sz w:val="20"/>
                <w:szCs w:val="20"/>
              </w:rPr>
              <w:t>3-5 orders</w:t>
            </w:r>
            <w:r w:rsidRPr="0086044D">
              <w:rPr>
                <w:b/>
                <w:bCs/>
                <w:sz w:val="20"/>
                <w:szCs w:val="20"/>
              </w:rPr>
              <w:br/>
              <w:t>(n=201)</w:t>
            </w:r>
          </w:p>
        </w:tc>
        <w:tc>
          <w:tcPr>
            <w:tcW w:w="2129" w:type="dxa"/>
            <w:gridSpan w:val="2"/>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5C7A6A79" w14:textId="77777777" w:rsidR="00C12B54" w:rsidRPr="005905A5" w:rsidRDefault="00C12B54" w:rsidP="005905A5">
            <w:pPr>
              <w:spacing w:after="0"/>
              <w:jc w:val="center"/>
              <w:rPr>
                <w:sz w:val="20"/>
                <w:szCs w:val="20"/>
              </w:rPr>
            </w:pPr>
            <w:r w:rsidRPr="005905A5">
              <w:rPr>
                <w:b/>
                <w:bCs/>
                <w:sz w:val="20"/>
                <w:szCs w:val="20"/>
              </w:rPr>
              <w:t>6+orders</w:t>
            </w:r>
            <w:r w:rsidRPr="005905A5">
              <w:rPr>
                <w:b/>
                <w:bCs/>
                <w:sz w:val="20"/>
                <w:szCs w:val="20"/>
              </w:rPr>
              <w:br/>
              <w:t>(n=41)</w:t>
            </w:r>
          </w:p>
        </w:tc>
      </w:tr>
      <w:tr w:rsidR="00A9468E" w:rsidRPr="00A9468E" w14:paraId="00B72B5D" w14:textId="77777777" w:rsidTr="00A55EAB">
        <w:trPr>
          <w:trHeight w:val="285"/>
          <w:jc w:val="center"/>
        </w:trPr>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14:paraId="54E5EBE3" w14:textId="71D946A3" w:rsidR="00A9468E" w:rsidRPr="00A9468E" w:rsidRDefault="00A9468E" w:rsidP="00A55EAB">
            <w:pPr>
              <w:spacing w:after="0"/>
              <w:jc w:val="center"/>
              <w:rPr>
                <w:sz w:val="20"/>
                <w:szCs w:val="20"/>
              </w:rPr>
            </w:pPr>
            <w:r>
              <w:rPr>
                <w:sz w:val="20"/>
                <w:szCs w:val="20"/>
              </w:rPr>
              <w:t>18-6</w:t>
            </w:r>
            <w:r w:rsidR="008D2B1A">
              <w:rPr>
                <w:sz w:val="20"/>
                <w:szCs w:val="20"/>
              </w:rPr>
              <w:t>4</w:t>
            </w:r>
          </w:p>
        </w:tc>
        <w:tc>
          <w:tcPr>
            <w:tcW w:w="824" w:type="dxa"/>
            <w:tcBorders>
              <w:top w:val="single" w:sz="6" w:space="0" w:color="auto"/>
              <w:left w:val="single" w:sz="6" w:space="0" w:color="auto"/>
              <w:bottom w:val="single" w:sz="6" w:space="0" w:color="auto"/>
              <w:right w:val="single" w:sz="6" w:space="0" w:color="auto"/>
            </w:tcBorders>
            <w:shd w:val="clear" w:color="auto" w:fill="auto"/>
            <w:vAlign w:val="center"/>
          </w:tcPr>
          <w:p w14:paraId="139751B0" w14:textId="715792F3" w:rsidR="00A9468E" w:rsidRPr="00A9468E" w:rsidRDefault="007F32CF" w:rsidP="0048046B">
            <w:pPr>
              <w:spacing w:after="0"/>
              <w:jc w:val="center"/>
              <w:rPr>
                <w:sz w:val="20"/>
                <w:szCs w:val="20"/>
              </w:rPr>
            </w:pPr>
            <w:r>
              <w:rPr>
                <w:sz w:val="20"/>
                <w:szCs w:val="20"/>
              </w:rPr>
              <w:t>184</w:t>
            </w:r>
          </w:p>
        </w:tc>
        <w:tc>
          <w:tcPr>
            <w:tcW w:w="995" w:type="dxa"/>
            <w:tcBorders>
              <w:top w:val="single" w:sz="6" w:space="0" w:color="auto"/>
              <w:left w:val="single" w:sz="6" w:space="0" w:color="auto"/>
              <w:bottom w:val="single" w:sz="6" w:space="0" w:color="auto"/>
              <w:right w:val="single" w:sz="6" w:space="0" w:color="auto"/>
            </w:tcBorders>
            <w:shd w:val="clear" w:color="auto" w:fill="auto"/>
            <w:vAlign w:val="center"/>
          </w:tcPr>
          <w:p w14:paraId="2F2587D5" w14:textId="5FD7A6B4" w:rsidR="00A9468E" w:rsidRPr="00A9468E" w:rsidRDefault="00EB58EC" w:rsidP="0048046B">
            <w:pPr>
              <w:spacing w:after="0"/>
              <w:jc w:val="center"/>
              <w:rPr>
                <w:sz w:val="20"/>
                <w:szCs w:val="20"/>
              </w:rPr>
            </w:pPr>
            <w:r>
              <w:rPr>
                <w:sz w:val="20"/>
                <w:szCs w:val="20"/>
              </w:rPr>
              <w:t>42%</w:t>
            </w:r>
          </w:p>
        </w:tc>
        <w:tc>
          <w:tcPr>
            <w:tcW w:w="940" w:type="dxa"/>
            <w:tcBorders>
              <w:top w:val="single" w:sz="6" w:space="0" w:color="auto"/>
              <w:left w:val="single" w:sz="6" w:space="0" w:color="auto"/>
              <w:bottom w:val="single" w:sz="6" w:space="0" w:color="auto"/>
              <w:right w:val="single" w:sz="6" w:space="0" w:color="auto"/>
            </w:tcBorders>
            <w:shd w:val="clear" w:color="auto" w:fill="auto"/>
            <w:vAlign w:val="center"/>
          </w:tcPr>
          <w:p w14:paraId="4DD8C760" w14:textId="648961FD" w:rsidR="00A9468E" w:rsidRPr="00A9468E" w:rsidRDefault="00E55C14" w:rsidP="0048046B">
            <w:pPr>
              <w:spacing w:after="0"/>
              <w:jc w:val="center"/>
              <w:rPr>
                <w:sz w:val="20"/>
                <w:szCs w:val="20"/>
              </w:rPr>
            </w:pPr>
            <w:r>
              <w:rPr>
                <w:sz w:val="20"/>
                <w:szCs w:val="20"/>
              </w:rPr>
              <w:t>92</w:t>
            </w:r>
          </w:p>
        </w:tc>
        <w:tc>
          <w:tcPr>
            <w:tcW w:w="916" w:type="dxa"/>
            <w:tcBorders>
              <w:top w:val="single" w:sz="6" w:space="0" w:color="auto"/>
              <w:left w:val="single" w:sz="6" w:space="0" w:color="auto"/>
              <w:bottom w:val="single" w:sz="6" w:space="0" w:color="auto"/>
              <w:right w:val="single" w:sz="6" w:space="0" w:color="auto"/>
            </w:tcBorders>
            <w:shd w:val="clear" w:color="auto" w:fill="auto"/>
            <w:vAlign w:val="center"/>
          </w:tcPr>
          <w:p w14:paraId="10659547" w14:textId="01BA2AB1" w:rsidR="00A9468E" w:rsidRPr="00A9468E" w:rsidRDefault="009204F7" w:rsidP="0048046B">
            <w:pPr>
              <w:spacing w:after="0"/>
              <w:jc w:val="center"/>
              <w:rPr>
                <w:sz w:val="20"/>
                <w:szCs w:val="20"/>
              </w:rPr>
            </w:pPr>
            <w:r>
              <w:rPr>
                <w:sz w:val="20"/>
                <w:szCs w:val="20"/>
              </w:rPr>
              <w:t>69%</w:t>
            </w:r>
          </w:p>
        </w:tc>
        <w:tc>
          <w:tcPr>
            <w:tcW w:w="1062" w:type="dxa"/>
            <w:tcBorders>
              <w:top w:val="single" w:sz="6" w:space="0" w:color="auto"/>
              <w:left w:val="single" w:sz="6" w:space="0" w:color="auto"/>
              <w:bottom w:val="single" w:sz="6" w:space="0" w:color="auto"/>
              <w:right w:val="single" w:sz="6" w:space="0" w:color="auto"/>
            </w:tcBorders>
            <w:shd w:val="clear" w:color="auto" w:fill="auto"/>
            <w:vAlign w:val="center"/>
          </w:tcPr>
          <w:p w14:paraId="241C91BF" w14:textId="3C04D554" w:rsidR="00A9468E" w:rsidRPr="00A9468E" w:rsidRDefault="00E55C14" w:rsidP="0048046B">
            <w:pPr>
              <w:spacing w:after="0"/>
              <w:jc w:val="center"/>
              <w:rPr>
                <w:sz w:val="20"/>
                <w:szCs w:val="20"/>
              </w:rPr>
            </w:pPr>
            <w:r>
              <w:rPr>
                <w:sz w:val="20"/>
                <w:szCs w:val="20"/>
              </w:rPr>
              <w:t>156</w:t>
            </w:r>
          </w:p>
        </w:tc>
        <w:tc>
          <w:tcPr>
            <w:tcW w:w="1202" w:type="dxa"/>
            <w:tcBorders>
              <w:top w:val="single" w:sz="6" w:space="0" w:color="auto"/>
              <w:left w:val="single" w:sz="6" w:space="0" w:color="auto"/>
              <w:bottom w:val="single" w:sz="6" w:space="0" w:color="auto"/>
              <w:right w:val="single" w:sz="6" w:space="0" w:color="auto"/>
            </w:tcBorders>
            <w:shd w:val="clear" w:color="auto" w:fill="auto"/>
            <w:vAlign w:val="center"/>
          </w:tcPr>
          <w:p w14:paraId="771014C4" w14:textId="5C65A605" w:rsidR="00A9468E" w:rsidRPr="00A9468E" w:rsidRDefault="009204F7" w:rsidP="0048046B">
            <w:pPr>
              <w:spacing w:after="0"/>
              <w:jc w:val="center"/>
              <w:rPr>
                <w:sz w:val="20"/>
                <w:szCs w:val="20"/>
              </w:rPr>
            </w:pPr>
            <w:r>
              <w:rPr>
                <w:sz w:val="20"/>
                <w:szCs w:val="20"/>
              </w:rPr>
              <w:t>78%</w:t>
            </w:r>
          </w:p>
        </w:tc>
        <w:tc>
          <w:tcPr>
            <w:tcW w:w="1057" w:type="dxa"/>
            <w:tcBorders>
              <w:top w:val="single" w:sz="6" w:space="0" w:color="auto"/>
              <w:left w:val="single" w:sz="6" w:space="0" w:color="auto"/>
              <w:bottom w:val="single" w:sz="6" w:space="0" w:color="auto"/>
              <w:right w:val="single" w:sz="6" w:space="0" w:color="auto"/>
            </w:tcBorders>
            <w:shd w:val="clear" w:color="auto" w:fill="auto"/>
            <w:vAlign w:val="center"/>
          </w:tcPr>
          <w:p w14:paraId="3EF98EE0" w14:textId="7BE35215" w:rsidR="00A9468E" w:rsidRPr="00A9468E" w:rsidRDefault="00E55C14" w:rsidP="0048046B">
            <w:pPr>
              <w:spacing w:after="0"/>
              <w:jc w:val="center"/>
              <w:rPr>
                <w:sz w:val="20"/>
                <w:szCs w:val="20"/>
              </w:rPr>
            </w:pPr>
            <w:r>
              <w:rPr>
                <w:sz w:val="20"/>
                <w:szCs w:val="20"/>
              </w:rPr>
              <w:t>38</w:t>
            </w:r>
          </w:p>
        </w:tc>
        <w:tc>
          <w:tcPr>
            <w:tcW w:w="1072" w:type="dxa"/>
            <w:tcBorders>
              <w:top w:val="single" w:sz="6" w:space="0" w:color="auto"/>
              <w:left w:val="single" w:sz="6" w:space="0" w:color="auto"/>
              <w:bottom w:val="single" w:sz="6" w:space="0" w:color="auto"/>
              <w:right w:val="single" w:sz="6" w:space="0" w:color="auto"/>
            </w:tcBorders>
            <w:shd w:val="clear" w:color="auto" w:fill="auto"/>
            <w:vAlign w:val="center"/>
          </w:tcPr>
          <w:p w14:paraId="06EB01F8" w14:textId="0AFCD9EC" w:rsidR="00A9468E" w:rsidRPr="00A9468E" w:rsidRDefault="00FE42BF" w:rsidP="0048046B">
            <w:pPr>
              <w:spacing w:after="0"/>
              <w:jc w:val="center"/>
              <w:rPr>
                <w:sz w:val="20"/>
                <w:szCs w:val="20"/>
              </w:rPr>
            </w:pPr>
            <w:r>
              <w:rPr>
                <w:sz w:val="20"/>
                <w:szCs w:val="20"/>
              </w:rPr>
              <w:t>93%</w:t>
            </w:r>
          </w:p>
        </w:tc>
      </w:tr>
      <w:tr w:rsidR="00A9468E" w:rsidRPr="00A9468E" w14:paraId="0B3735EC" w14:textId="77777777" w:rsidTr="00F31425">
        <w:trPr>
          <w:trHeight w:val="285"/>
          <w:jc w:val="center"/>
        </w:trPr>
        <w:tc>
          <w:tcPr>
            <w:tcW w:w="974" w:type="dxa"/>
            <w:tcBorders>
              <w:top w:val="single" w:sz="6" w:space="0" w:color="auto"/>
              <w:left w:val="single" w:sz="6" w:space="0" w:color="auto"/>
              <w:bottom w:val="single" w:sz="6" w:space="0" w:color="auto"/>
              <w:right w:val="single" w:sz="6" w:space="0" w:color="auto"/>
            </w:tcBorders>
            <w:shd w:val="clear" w:color="auto" w:fill="auto"/>
            <w:vAlign w:val="center"/>
          </w:tcPr>
          <w:p w14:paraId="6136D26A" w14:textId="3AD44DE9" w:rsidR="00A9468E" w:rsidRPr="00A9468E" w:rsidRDefault="00A9468E" w:rsidP="00F31425">
            <w:pPr>
              <w:jc w:val="center"/>
              <w:rPr>
                <w:sz w:val="20"/>
                <w:szCs w:val="20"/>
              </w:rPr>
            </w:pPr>
            <w:r>
              <w:rPr>
                <w:sz w:val="20"/>
                <w:szCs w:val="20"/>
              </w:rPr>
              <w:t>65+</w:t>
            </w:r>
          </w:p>
        </w:tc>
        <w:tc>
          <w:tcPr>
            <w:tcW w:w="824" w:type="dxa"/>
            <w:tcBorders>
              <w:top w:val="single" w:sz="6" w:space="0" w:color="auto"/>
              <w:left w:val="single" w:sz="6" w:space="0" w:color="auto"/>
              <w:bottom w:val="single" w:sz="6" w:space="0" w:color="auto"/>
              <w:right w:val="single" w:sz="6" w:space="0" w:color="auto"/>
            </w:tcBorders>
            <w:shd w:val="clear" w:color="auto" w:fill="auto"/>
            <w:vAlign w:val="center"/>
          </w:tcPr>
          <w:p w14:paraId="0F331290" w14:textId="220BB958" w:rsidR="00A9468E" w:rsidRPr="00A9468E" w:rsidRDefault="00E55C14" w:rsidP="00F31425">
            <w:pPr>
              <w:jc w:val="center"/>
              <w:rPr>
                <w:sz w:val="20"/>
                <w:szCs w:val="20"/>
              </w:rPr>
            </w:pPr>
            <w:r>
              <w:rPr>
                <w:sz w:val="20"/>
                <w:szCs w:val="20"/>
              </w:rPr>
              <w:t>256</w:t>
            </w:r>
          </w:p>
        </w:tc>
        <w:tc>
          <w:tcPr>
            <w:tcW w:w="995" w:type="dxa"/>
            <w:tcBorders>
              <w:top w:val="single" w:sz="6" w:space="0" w:color="auto"/>
              <w:left w:val="single" w:sz="6" w:space="0" w:color="auto"/>
              <w:bottom w:val="single" w:sz="6" w:space="0" w:color="auto"/>
              <w:right w:val="single" w:sz="6" w:space="0" w:color="auto"/>
            </w:tcBorders>
            <w:shd w:val="clear" w:color="auto" w:fill="auto"/>
            <w:vAlign w:val="center"/>
          </w:tcPr>
          <w:p w14:paraId="355BE0ED" w14:textId="01E668DA" w:rsidR="00A9468E" w:rsidRPr="00A9468E" w:rsidRDefault="00EB58EC" w:rsidP="00F31425">
            <w:pPr>
              <w:jc w:val="center"/>
              <w:rPr>
                <w:sz w:val="20"/>
                <w:szCs w:val="20"/>
              </w:rPr>
            </w:pPr>
            <w:r>
              <w:rPr>
                <w:sz w:val="20"/>
                <w:szCs w:val="20"/>
              </w:rPr>
              <w:t>58%</w:t>
            </w:r>
          </w:p>
        </w:tc>
        <w:tc>
          <w:tcPr>
            <w:tcW w:w="940" w:type="dxa"/>
            <w:tcBorders>
              <w:top w:val="single" w:sz="6" w:space="0" w:color="auto"/>
              <w:left w:val="single" w:sz="6" w:space="0" w:color="auto"/>
              <w:bottom w:val="single" w:sz="6" w:space="0" w:color="auto"/>
              <w:right w:val="single" w:sz="6" w:space="0" w:color="auto"/>
            </w:tcBorders>
            <w:shd w:val="clear" w:color="auto" w:fill="auto"/>
            <w:vAlign w:val="center"/>
          </w:tcPr>
          <w:p w14:paraId="20D0A9EF" w14:textId="32206ED3" w:rsidR="00A9468E" w:rsidRPr="00A9468E" w:rsidRDefault="00E55C14" w:rsidP="00F31425">
            <w:pPr>
              <w:jc w:val="center"/>
              <w:rPr>
                <w:sz w:val="20"/>
                <w:szCs w:val="20"/>
              </w:rPr>
            </w:pPr>
            <w:r>
              <w:rPr>
                <w:sz w:val="20"/>
                <w:szCs w:val="20"/>
              </w:rPr>
              <w:t>41</w:t>
            </w:r>
          </w:p>
        </w:tc>
        <w:tc>
          <w:tcPr>
            <w:tcW w:w="916" w:type="dxa"/>
            <w:tcBorders>
              <w:top w:val="single" w:sz="6" w:space="0" w:color="auto"/>
              <w:left w:val="single" w:sz="6" w:space="0" w:color="auto"/>
              <w:bottom w:val="single" w:sz="6" w:space="0" w:color="auto"/>
              <w:right w:val="single" w:sz="6" w:space="0" w:color="auto"/>
            </w:tcBorders>
            <w:shd w:val="clear" w:color="auto" w:fill="auto"/>
            <w:vAlign w:val="center"/>
          </w:tcPr>
          <w:p w14:paraId="0013F465" w14:textId="0CF83676" w:rsidR="00A9468E" w:rsidRPr="00A9468E" w:rsidRDefault="009204F7" w:rsidP="00F31425">
            <w:pPr>
              <w:jc w:val="center"/>
              <w:rPr>
                <w:sz w:val="20"/>
                <w:szCs w:val="20"/>
              </w:rPr>
            </w:pPr>
            <w:r>
              <w:rPr>
                <w:sz w:val="20"/>
                <w:szCs w:val="20"/>
              </w:rPr>
              <w:t>31%</w:t>
            </w:r>
          </w:p>
        </w:tc>
        <w:tc>
          <w:tcPr>
            <w:tcW w:w="1062" w:type="dxa"/>
            <w:tcBorders>
              <w:top w:val="single" w:sz="6" w:space="0" w:color="auto"/>
              <w:left w:val="single" w:sz="6" w:space="0" w:color="auto"/>
              <w:bottom w:val="single" w:sz="6" w:space="0" w:color="auto"/>
              <w:right w:val="single" w:sz="6" w:space="0" w:color="auto"/>
            </w:tcBorders>
            <w:shd w:val="clear" w:color="auto" w:fill="auto"/>
            <w:vAlign w:val="center"/>
          </w:tcPr>
          <w:p w14:paraId="18936D82" w14:textId="7D4BFE32" w:rsidR="00A9468E" w:rsidRPr="00A9468E" w:rsidRDefault="00E55C14" w:rsidP="00F31425">
            <w:pPr>
              <w:jc w:val="center"/>
              <w:rPr>
                <w:sz w:val="20"/>
                <w:szCs w:val="20"/>
              </w:rPr>
            </w:pPr>
            <w:r>
              <w:rPr>
                <w:sz w:val="20"/>
                <w:szCs w:val="20"/>
              </w:rPr>
              <w:t>45</w:t>
            </w:r>
          </w:p>
        </w:tc>
        <w:tc>
          <w:tcPr>
            <w:tcW w:w="1202" w:type="dxa"/>
            <w:tcBorders>
              <w:top w:val="single" w:sz="6" w:space="0" w:color="auto"/>
              <w:left w:val="single" w:sz="6" w:space="0" w:color="auto"/>
              <w:bottom w:val="single" w:sz="6" w:space="0" w:color="auto"/>
              <w:right w:val="single" w:sz="6" w:space="0" w:color="auto"/>
            </w:tcBorders>
            <w:shd w:val="clear" w:color="auto" w:fill="auto"/>
            <w:vAlign w:val="center"/>
          </w:tcPr>
          <w:p w14:paraId="6ADCCB26" w14:textId="78C17FDA" w:rsidR="00A9468E" w:rsidRPr="00A9468E" w:rsidRDefault="00FE42BF" w:rsidP="00F31425">
            <w:pPr>
              <w:jc w:val="center"/>
              <w:rPr>
                <w:sz w:val="20"/>
                <w:szCs w:val="20"/>
              </w:rPr>
            </w:pPr>
            <w:r>
              <w:rPr>
                <w:sz w:val="20"/>
                <w:szCs w:val="20"/>
              </w:rPr>
              <w:t>22%</w:t>
            </w:r>
          </w:p>
        </w:tc>
        <w:tc>
          <w:tcPr>
            <w:tcW w:w="1057" w:type="dxa"/>
            <w:tcBorders>
              <w:top w:val="single" w:sz="6" w:space="0" w:color="auto"/>
              <w:left w:val="single" w:sz="6" w:space="0" w:color="auto"/>
              <w:bottom w:val="single" w:sz="6" w:space="0" w:color="auto"/>
              <w:right w:val="single" w:sz="6" w:space="0" w:color="auto"/>
            </w:tcBorders>
            <w:shd w:val="clear" w:color="auto" w:fill="auto"/>
            <w:vAlign w:val="center"/>
          </w:tcPr>
          <w:p w14:paraId="336A5DC5" w14:textId="27E9FB6C" w:rsidR="00A9468E" w:rsidRPr="00A9468E" w:rsidRDefault="00E55C14" w:rsidP="00F31425">
            <w:pPr>
              <w:jc w:val="center"/>
              <w:rPr>
                <w:sz w:val="20"/>
                <w:szCs w:val="20"/>
              </w:rPr>
            </w:pPr>
            <w:r>
              <w:rPr>
                <w:sz w:val="20"/>
                <w:szCs w:val="20"/>
              </w:rPr>
              <w:t>3</w:t>
            </w:r>
          </w:p>
        </w:tc>
        <w:tc>
          <w:tcPr>
            <w:tcW w:w="1072" w:type="dxa"/>
            <w:tcBorders>
              <w:top w:val="single" w:sz="6" w:space="0" w:color="auto"/>
              <w:left w:val="single" w:sz="6" w:space="0" w:color="auto"/>
              <w:bottom w:val="single" w:sz="6" w:space="0" w:color="auto"/>
              <w:right w:val="single" w:sz="6" w:space="0" w:color="auto"/>
            </w:tcBorders>
            <w:shd w:val="clear" w:color="auto" w:fill="auto"/>
            <w:vAlign w:val="center"/>
          </w:tcPr>
          <w:p w14:paraId="129C24AA" w14:textId="59FDDD41" w:rsidR="00A9468E" w:rsidRPr="00A9468E" w:rsidRDefault="00FE42BF" w:rsidP="00F31425">
            <w:pPr>
              <w:jc w:val="center"/>
              <w:rPr>
                <w:sz w:val="20"/>
                <w:szCs w:val="20"/>
              </w:rPr>
            </w:pPr>
            <w:r>
              <w:rPr>
                <w:sz w:val="20"/>
                <w:szCs w:val="20"/>
              </w:rPr>
              <w:t>7%</w:t>
            </w:r>
          </w:p>
        </w:tc>
      </w:tr>
    </w:tbl>
    <w:p w14:paraId="15FF0303" w14:textId="65EBC38E" w:rsidR="00C12B54" w:rsidRDefault="00C12B54" w:rsidP="00C12B54">
      <w:pPr>
        <w:jc w:val="center"/>
        <w:rPr>
          <w:sz w:val="20"/>
          <w:szCs w:val="20"/>
        </w:rPr>
      </w:pPr>
      <w:r w:rsidRPr="005905A5">
        <w:rPr>
          <w:b/>
          <w:bCs/>
          <w:sz w:val="20"/>
          <w:szCs w:val="20"/>
        </w:rPr>
        <w:t xml:space="preserve">Table </w:t>
      </w:r>
      <w:r w:rsidR="00052424" w:rsidRPr="005905A5">
        <w:rPr>
          <w:b/>
          <w:bCs/>
          <w:sz w:val="20"/>
          <w:szCs w:val="20"/>
        </w:rPr>
        <w:t>3</w:t>
      </w:r>
      <w:r w:rsidRPr="005905A5">
        <w:rPr>
          <w:b/>
          <w:bCs/>
          <w:sz w:val="20"/>
          <w:szCs w:val="20"/>
        </w:rPr>
        <w:t xml:space="preserve">: </w:t>
      </w:r>
      <w:r w:rsidRPr="005905A5">
        <w:rPr>
          <w:sz w:val="20"/>
          <w:szCs w:val="20"/>
        </w:rPr>
        <w:t>Age group by number of orders for each person</w:t>
      </w:r>
    </w:p>
    <w:p w14:paraId="3DCBFDF8" w14:textId="1B7D55D7" w:rsidR="00A8191C" w:rsidRPr="00756610" w:rsidDel="00961472" w:rsidRDefault="00A8191C" w:rsidP="00756610">
      <w:r>
        <w:lastRenderedPageBreak/>
        <w:t xml:space="preserve">Put another way, </w:t>
      </w:r>
      <w:r w:rsidR="00347BFE">
        <w:t xml:space="preserve">almost </w:t>
      </w:r>
      <w:r w:rsidR="002175FB">
        <w:t>three-quarters of people who were over 65</w:t>
      </w:r>
      <w:r w:rsidR="00384FC9">
        <w:t xml:space="preserve"> at the time of their </w:t>
      </w:r>
      <w:r w:rsidR="00194AE7">
        <w:t>2023</w:t>
      </w:r>
      <w:r w:rsidR="003769DA">
        <w:t>/</w:t>
      </w:r>
      <w:r w:rsidR="00194AE7">
        <w:t xml:space="preserve">24 </w:t>
      </w:r>
      <w:r w:rsidR="00AE5E0B">
        <w:t xml:space="preserve">guardianship </w:t>
      </w:r>
      <w:r w:rsidR="00384FC9">
        <w:t>order</w:t>
      </w:r>
      <w:r w:rsidR="00AE5E0B">
        <w:t xml:space="preserve"> </w:t>
      </w:r>
      <w:r w:rsidR="00912A15">
        <w:t>were (likely) experiencing guardianship for the first time</w:t>
      </w:r>
      <w:r w:rsidR="00BC4185">
        <w:t xml:space="preserve">. Conversely, </w:t>
      </w:r>
      <w:r w:rsidR="00F230C0">
        <w:t xml:space="preserve">this was the case for only four out of ten people in the </w:t>
      </w:r>
      <w:r w:rsidR="00B64359">
        <w:t>18–</w:t>
      </w:r>
      <w:r w:rsidR="00F230C0">
        <w:t>6</w:t>
      </w:r>
      <w:r w:rsidR="00084590">
        <w:t>4</w:t>
      </w:r>
      <w:r w:rsidR="00F230C0">
        <w:t xml:space="preserve"> age cohort.</w:t>
      </w:r>
      <w:r w:rsidR="00751A49">
        <w:t xml:space="preserve"> </w:t>
      </w:r>
      <w:r w:rsidR="0055772D">
        <w:t>Of</w:t>
      </w:r>
      <w:r w:rsidR="008F7237">
        <w:t xml:space="preserve"> </w:t>
      </w:r>
      <w:r w:rsidR="00DC6693">
        <w:t xml:space="preserve">the people </w:t>
      </w:r>
      <w:r w:rsidR="00191D79">
        <w:t>aged 18–</w:t>
      </w:r>
      <w:r w:rsidR="008F7237">
        <w:t>6</w:t>
      </w:r>
      <w:r w:rsidR="00084590">
        <w:t>4</w:t>
      </w:r>
      <w:r w:rsidR="00921BA3">
        <w:t xml:space="preserve"> who were subject to a </w:t>
      </w:r>
      <w:r w:rsidR="00E173F2">
        <w:t>‘</w:t>
      </w:r>
      <w:r w:rsidR="00921BA3">
        <w:t>reappointment</w:t>
      </w:r>
      <w:r w:rsidR="00E173F2">
        <w:t>’</w:t>
      </w:r>
      <w:r w:rsidR="00DC6693">
        <w:t xml:space="preserve"> in 2023</w:t>
      </w:r>
      <w:r w:rsidR="003769DA">
        <w:t>/</w:t>
      </w:r>
      <w:r w:rsidR="00DC6693">
        <w:t>24,</w:t>
      </w:r>
      <w:r w:rsidR="00957C59">
        <w:t xml:space="preserve"> </w:t>
      </w:r>
      <w:r w:rsidR="00F251E2">
        <w:t xml:space="preserve">two-thirds were experiencing </w:t>
      </w:r>
      <w:r w:rsidR="00B64359">
        <w:t>at least the</w:t>
      </w:r>
      <w:r w:rsidR="0066668A">
        <w:t>ir</w:t>
      </w:r>
      <w:r w:rsidR="00B64359">
        <w:t xml:space="preserve"> third guardianship order</w:t>
      </w:r>
      <w:r w:rsidR="00210CCF">
        <w:t>.</w:t>
      </w:r>
      <w:r w:rsidR="00961472">
        <w:t xml:space="preserve"> </w:t>
      </w:r>
    </w:p>
    <w:p w14:paraId="51418112" w14:textId="77777777" w:rsidR="00C12B54" w:rsidRDefault="00C12B54" w:rsidP="008A6FB1">
      <w:pPr>
        <w:pStyle w:val="Heading2"/>
      </w:pPr>
      <w:bookmarkStart w:id="14" w:name="_Toc200963477"/>
      <w:r>
        <w:t>Disability</w:t>
      </w:r>
      <w:bookmarkEnd w:id="14"/>
    </w:p>
    <w:p w14:paraId="590180FB" w14:textId="56F58FBC" w:rsidR="00C12B54" w:rsidRDefault="00C12B54" w:rsidP="00C12B54">
      <w:r w:rsidRPr="52D60A89">
        <w:t xml:space="preserve">More than 80 per cent of people who had been subject to </w:t>
      </w:r>
      <w:r w:rsidR="00D70223">
        <w:t>3 or more</w:t>
      </w:r>
      <w:r w:rsidR="00D70223" w:rsidRPr="52D60A89">
        <w:t xml:space="preserve"> </w:t>
      </w:r>
      <w:r w:rsidRPr="52D60A89">
        <w:t>guardianship orders were recorded as having either an intellectual disability or a psychiatric disability (or a combination thereof). The re</w:t>
      </w:r>
      <w:r w:rsidR="003C3F3F">
        <w:t xml:space="preserve">mainder </w:t>
      </w:r>
      <w:r w:rsidRPr="52D60A89">
        <w:t>were re</w:t>
      </w:r>
      <w:r w:rsidR="00A86F6D">
        <w:t>corded as having either</w:t>
      </w:r>
      <w:r w:rsidRPr="52D60A89">
        <w:t xml:space="preserve"> </w:t>
      </w:r>
      <w:r w:rsidR="00A86F6D">
        <w:t xml:space="preserve">an </w:t>
      </w:r>
      <w:r w:rsidR="00BC0A61" w:rsidRPr="52D60A89">
        <w:t>Acquired Brain Injury</w:t>
      </w:r>
      <w:r w:rsidRPr="52D60A89">
        <w:t xml:space="preserve"> </w:t>
      </w:r>
      <w:r w:rsidR="00BC0A61">
        <w:t xml:space="preserve">(ABI) </w:t>
      </w:r>
      <w:r w:rsidRPr="52D60A89">
        <w:t>or dementia (approximately 10 percent each). Less than two percent reported a physical disability alone.</w:t>
      </w:r>
    </w:p>
    <w:p w14:paraId="29BDF72D" w14:textId="0EDAA701" w:rsidR="00C12B54" w:rsidRDefault="00C12B54" w:rsidP="00FC2534">
      <w:pPr>
        <w:spacing w:after="0"/>
      </w:pPr>
      <w:r>
        <w:t>For the people who had only been subject to a single OPA guardianship order</w:t>
      </w:r>
      <w:r w:rsidR="0032114F">
        <w:t xml:space="preserve">, </w:t>
      </w:r>
      <w:r>
        <w:t>in relation to the disability recorded:</w:t>
      </w:r>
    </w:p>
    <w:p w14:paraId="77C03297" w14:textId="2AF70F62" w:rsidR="00C12B54" w:rsidRDefault="00C12B54" w:rsidP="00A55EAB">
      <w:pPr>
        <w:pStyle w:val="ListParagraph"/>
        <w:numPr>
          <w:ilvl w:val="0"/>
          <w:numId w:val="41"/>
        </w:numPr>
      </w:pPr>
      <w:r>
        <w:t>45 per cent had a diagnosis of intellectual and/or psychiatric disability</w:t>
      </w:r>
    </w:p>
    <w:p w14:paraId="2361C25E" w14:textId="6F7F0773" w:rsidR="00C12B54" w:rsidRDefault="00C12B54" w:rsidP="00A55EAB">
      <w:pPr>
        <w:pStyle w:val="ListParagraph"/>
        <w:numPr>
          <w:ilvl w:val="0"/>
          <w:numId w:val="41"/>
        </w:numPr>
      </w:pPr>
      <w:r>
        <w:t>44 per cent had a diagnosis of dementia</w:t>
      </w:r>
    </w:p>
    <w:p w14:paraId="786A5F32" w14:textId="141FD0BA" w:rsidR="00C12B54" w:rsidRDefault="00C12B54" w:rsidP="00A55EAB">
      <w:pPr>
        <w:pStyle w:val="ListParagraph"/>
        <w:numPr>
          <w:ilvl w:val="0"/>
          <w:numId w:val="41"/>
        </w:numPr>
      </w:pPr>
      <w:r>
        <w:t xml:space="preserve">10 per cent </w:t>
      </w:r>
      <w:r w:rsidRPr="34854EE5">
        <w:t xml:space="preserve">had </w:t>
      </w:r>
      <w:r>
        <w:t xml:space="preserve">a diagnosis of </w:t>
      </w:r>
      <w:r w:rsidR="00BC0A61">
        <w:t>ABI</w:t>
      </w:r>
      <w:r>
        <w:t xml:space="preserve"> (excluding an ABI </w:t>
      </w:r>
      <w:r w:rsidR="00D30FDB">
        <w:t xml:space="preserve">recorded </w:t>
      </w:r>
      <w:r w:rsidR="00410B56">
        <w:t>as a dual disability</w:t>
      </w:r>
      <w:r>
        <w:t xml:space="preserve"> with the above disability types).</w:t>
      </w:r>
      <w:r>
        <w:rPr>
          <w:rStyle w:val="FootnoteReference"/>
        </w:rPr>
        <w:footnoteReference w:id="14"/>
      </w:r>
    </w:p>
    <w:p w14:paraId="23D2F335" w14:textId="0611CB76" w:rsidR="00C12B54" w:rsidRDefault="00C12B54" w:rsidP="00C12B54">
      <w:r w:rsidRPr="34854EE5">
        <w:t xml:space="preserve">Table </w:t>
      </w:r>
      <w:r w:rsidR="00BC0A61">
        <w:t>4</w:t>
      </w:r>
      <w:r w:rsidR="00BC0A61" w:rsidRPr="34854EE5">
        <w:t xml:space="preserve"> </w:t>
      </w:r>
      <w:r w:rsidR="00DD61AD">
        <w:t xml:space="preserve">indicates </w:t>
      </w:r>
      <w:r w:rsidR="00AA3767">
        <w:t xml:space="preserve">the </w:t>
      </w:r>
      <w:r>
        <w:t xml:space="preserve">proportion of the cohort </w:t>
      </w:r>
      <w:r w:rsidR="00DD61AD">
        <w:t xml:space="preserve">by the </w:t>
      </w:r>
      <w:r>
        <w:t>type of disability</w:t>
      </w:r>
      <w:r w:rsidRPr="34854EE5">
        <w:t>.</w:t>
      </w:r>
      <w:r>
        <w:t xml:space="preserve"> For </w:t>
      </w:r>
      <w:r w:rsidR="002E0FE5">
        <w:t xml:space="preserve">people who had been subject to at least 6 guardianship orders, </w:t>
      </w:r>
      <w:r>
        <w:t xml:space="preserve">76 per cent </w:t>
      </w:r>
      <w:r w:rsidR="003504BB">
        <w:t>w</w:t>
      </w:r>
      <w:r w:rsidRPr="34854EE5">
        <w:t xml:space="preserve">ere recorded as having </w:t>
      </w:r>
      <w:r>
        <w:t xml:space="preserve">an intellectual disability and 46 per cent </w:t>
      </w:r>
      <w:r w:rsidRPr="34854EE5">
        <w:t xml:space="preserve">were recorded as having </w:t>
      </w:r>
      <w:r>
        <w:t>a psychiatric disability.</w:t>
      </w:r>
    </w:p>
    <w:p w14:paraId="7696D986" w14:textId="6CFDD839" w:rsidR="00D06A2D" w:rsidRDefault="00C12B54" w:rsidP="00C12B54">
      <w:pPr>
        <w:rPr>
          <w:rFonts w:cs="Arial"/>
        </w:rPr>
      </w:pPr>
      <w:r w:rsidRPr="000064A6">
        <w:rPr>
          <w:rFonts w:cs="Arial"/>
        </w:rPr>
        <w:t xml:space="preserve">More than a quarter of people with at least 3 guardianship orders </w:t>
      </w:r>
      <w:r>
        <w:rPr>
          <w:rFonts w:cs="Arial"/>
        </w:rPr>
        <w:t>were recorded as having</w:t>
      </w:r>
      <w:r w:rsidRPr="000064A6">
        <w:rPr>
          <w:rFonts w:cs="Arial"/>
        </w:rPr>
        <w:t xml:space="preserve"> a dual disability that included intellectual disability and psychiatric disability; this rose to 37 per cent of people who had been subject to at least 6 orders.</w:t>
      </w:r>
    </w:p>
    <w:p w14:paraId="2E8E6E66" w14:textId="77777777" w:rsidR="00803BCD" w:rsidRPr="000064A6" w:rsidRDefault="00803BCD" w:rsidP="00803BCD">
      <w:pPr>
        <w:spacing w:after="0"/>
        <w:rPr>
          <w:rFonts w:cs="Arial"/>
        </w:rPr>
      </w:pPr>
    </w:p>
    <w:tbl>
      <w:tblPr>
        <w:tblW w:w="0"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75"/>
        <w:gridCol w:w="1365"/>
        <w:gridCol w:w="1305"/>
        <w:gridCol w:w="735"/>
        <w:gridCol w:w="1275"/>
        <w:gridCol w:w="1290"/>
      </w:tblGrid>
      <w:tr w:rsidR="00C12B54" w:rsidRPr="00AA3767" w14:paraId="04EA287D" w14:textId="77777777" w:rsidTr="000B64B8">
        <w:trPr>
          <w:trHeight w:val="285"/>
          <w:jc w:val="center"/>
        </w:trPr>
        <w:tc>
          <w:tcPr>
            <w:tcW w:w="1275"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2FAE9816" w14:textId="77777777" w:rsidR="00C12B54" w:rsidRPr="00822658" w:rsidRDefault="00C12B54" w:rsidP="00822658">
            <w:pPr>
              <w:spacing w:after="0"/>
              <w:jc w:val="center"/>
              <w:rPr>
                <w:sz w:val="20"/>
                <w:szCs w:val="20"/>
              </w:rPr>
            </w:pPr>
            <w:r w:rsidRPr="00822658">
              <w:rPr>
                <w:sz w:val="20"/>
                <w:szCs w:val="20"/>
              </w:rPr>
              <w:t>People with:</w:t>
            </w:r>
          </w:p>
        </w:tc>
        <w:tc>
          <w:tcPr>
            <w:tcW w:w="1365"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580D500B" w14:textId="77777777" w:rsidR="00C12B54" w:rsidRPr="00822658" w:rsidRDefault="00C12B54" w:rsidP="00822658">
            <w:pPr>
              <w:spacing w:after="0"/>
              <w:jc w:val="center"/>
              <w:rPr>
                <w:sz w:val="20"/>
                <w:szCs w:val="20"/>
              </w:rPr>
            </w:pPr>
            <w:r w:rsidRPr="00822658">
              <w:rPr>
                <w:sz w:val="20"/>
                <w:szCs w:val="20"/>
              </w:rPr>
              <w:t>Intellectual Disability</w:t>
            </w:r>
          </w:p>
        </w:tc>
        <w:tc>
          <w:tcPr>
            <w:tcW w:w="1305"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11C49DDA" w14:textId="0AF595EA" w:rsidR="00C12B54" w:rsidRPr="00822658" w:rsidRDefault="002129EE" w:rsidP="00822658">
            <w:pPr>
              <w:spacing w:after="0"/>
              <w:jc w:val="center"/>
              <w:rPr>
                <w:sz w:val="20"/>
                <w:szCs w:val="20"/>
              </w:rPr>
            </w:pPr>
            <w:r w:rsidRPr="00822658">
              <w:rPr>
                <w:sz w:val="20"/>
                <w:szCs w:val="20"/>
              </w:rPr>
              <w:t>Psychiatric</w:t>
            </w:r>
            <w:r w:rsidR="00C12B54" w:rsidRPr="00822658">
              <w:rPr>
                <w:sz w:val="20"/>
                <w:szCs w:val="20"/>
              </w:rPr>
              <w:t xml:space="preserve"> </w:t>
            </w:r>
            <w:r w:rsidR="00614787" w:rsidRPr="00822658">
              <w:rPr>
                <w:sz w:val="20"/>
                <w:szCs w:val="20"/>
              </w:rPr>
              <w:t>D</w:t>
            </w:r>
            <w:r w:rsidR="00C12B54" w:rsidRPr="00822658">
              <w:rPr>
                <w:sz w:val="20"/>
                <w:szCs w:val="20"/>
              </w:rPr>
              <w:t>isability</w:t>
            </w:r>
          </w:p>
        </w:tc>
        <w:tc>
          <w:tcPr>
            <w:tcW w:w="735"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3EE85E3B" w14:textId="77777777" w:rsidR="00C12B54" w:rsidRPr="00822658" w:rsidRDefault="00C12B54" w:rsidP="00822658">
            <w:pPr>
              <w:spacing w:after="0"/>
              <w:jc w:val="center"/>
              <w:rPr>
                <w:sz w:val="20"/>
                <w:szCs w:val="20"/>
              </w:rPr>
            </w:pPr>
            <w:r w:rsidRPr="00822658">
              <w:rPr>
                <w:sz w:val="20"/>
                <w:szCs w:val="20"/>
              </w:rPr>
              <w:t>ABI</w:t>
            </w:r>
          </w:p>
        </w:tc>
        <w:tc>
          <w:tcPr>
            <w:tcW w:w="1275"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7373D373" w14:textId="77777777" w:rsidR="00C12B54" w:rsidRPr="00822658" w:rsidRDefault="00C12B54" w:rsidP="00822658">
            <w:pPr>
              <w:spacing w:after="0"/>
              <w:jc w:val="center"/>
              <w:rPr>
                <w:sz w:val="20"/>
                <w:szCs w:val="20"/>
              </w:rPr>
            </w:pPr>
            <w:r w:rsidRPr="00822658">
              <w:rPr>
                <w:sz w:val="20"/>
                <w:szCs w:val="20"/>
              </w:rPr>
              <w:t>Dementia</w:t>
            </w:r>
          </w:p>
        </w:tc>
        <w:tc>
          <w:tcPr>
            <w:tcW w:w="1290"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3D83D0B3" w14:textId="77777777" w:rsidR="00C12B54" w:rsidRPr="00822658" w:rsidRDefault="00C12B54" w:rsidP="00822658">
            <w:pPr>
              <w:spacing w:after="0"/>
              <w:jc w:val="center"/>
              <w:rPr>
                <w:sz w:val="20"/>
                <w:szCs w:val="20"/>
              </w:rPr>
            </w:pPr>
            <w:r w:rsidRPr="00822658">
              <w:rPr>
                <w:sz w:val="20"/>
                <w:szCs w:val="20"/>
              </w:rPr>
              <w:t>Physical Disability</w:t>
            </w:r>
          </w:p>
        </w:tc>
      </w:tr>
      <w:tr w:rsidR="00C12B54" w:rsidRPr="00AA3767" w14:paraId="486FD9B4" w14:textId="77777777" w:rsidTr="00FC2534">
        <w:trPr>
          <w:trHeight w:val="28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26200580" w14:textId="459B9BD5" w:rsidR="00C12B54" w:rsidRPr="00822658" w:rsidRDefault="00C12B54" w:rsidP="00FC2534">
            <w:pPr>
              <w:spacing w:after="0"/>
              <w:jc w:val="center"/>
              <w:rPr>
                <w:sz w:val="20"/>
                <w:szCs w:val="20"/>
              </w:rPr>
            </w:pPr>
            <w:r w:rsidRPr="00822658">
              <w:rPr>
                <w:sz w:val="20"/>
                <w:szCs w:val="20"/>
              </w:rPr>
              <w:t>6+ orders</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57FBAEB" w14:textId="77777777" w:rsidR="00C12B54" w:rsidRPr="00822658" w:rsidRDefault="00C12B54" w:rsidP="00822658">
            <w:pPr>
              <w:spacing w:after="0"/>
              <w:jc w:val="center"/>
              <w:rPr>
                <w:sz w:val="20"/>
                <w:szCs w:val="20"/>
              </w:rPr>
            </w:pPr>
            <w:r w:rsidRPr="00822658">
              <w:rPr>
                <w:sz w:val="20"/>
                <w:szCs w:val="20"/>
              </w:rPr>
              <w:t>76%</w:t>
            </w:r>
          </w:p>
        </w:tc>
        <w:tc>
          <w:tcPr>
            <w:tcW w:w="13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032A4CA" w14:textId="77777777" w:rsidR="00C12B54" w:rsidRPr="00822658" w:rsidRDefault="00C12B54" w:rsidP="00822658">
            <w:pPr>
              <w:spacing w:after="0"/>
              <w:jc w:val="center"/>
              <w:rPr>
                <w:sz w:val="20"/>
                <w:szCs w:val="20"/>
              </w:rPr>
            </w:pPr>
            <w:r w:rsidRPr="00822658">
              <w:rPr>
                <w:sz w:val="20"/>
                <w:szCs w:val="20"/>
              </w:rPr>
              <w:t>46%</w:t>
            </w:r>
          </w:p>
        </w:tc>
        <w:tc>
          <w:tcPr>
            <w:tcW w:w="73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1E87D93" w14:textId="77777777" w:rsidR="00C12B54" w:rsidRPr="00822658" w:rsidRDefault="00C12B54" w:rsidP="00822658">
            <w:pPr>
              <w:spacing w:after="0"/>
              <w:jc w:val="center"/>
              <w:rPr>
                <w:sz w:val="20"/>
                <w:szCs w:val="20"/>
              </w:rPr>
            </w:pPr>
            <w:r w:rsidRPr="00822658">
              <w:rPr>
                <w:sz w:val="20"/>
                <w:szCs w:val="20"/>
              </w:rPr>
              <w:t>10%</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F263FFA" w14:textId="77777777" w:rsidR="00C12B54" w:rsidRPr="00822658" w:rsidRDefault="00C12B54" w:rsidP="00822658">
            <w:pPr>
              <w:spacing w:after="0"/>
              <w:jc w:val="center"/>
              <w:rPr>
                <w:sz w:val="20"/>
                <w:szCs w:val="20"/>
              </w:rPr>
            </w:pPr>
            <w:r w:rsidRPr="00822658">
              <w:rPr>
                <w:sz w:val="20"/>
                <w:szCs w:val="20"/>
              </w:rPr>
              <w:t>0%</w:t>
            </w:r>
          </w:p>
        </w:tc>
        <w:tc>
          <w:tcPr>
            <w:tcW w:w="129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9713E4D" w14:textId="77777777" w:rsidR="00C12B54" w:rsidRPr="00822658" w:rsidRDefault="00C12B54" w:rsidP="00822658">
            <w:pPr>
              <w:spacing w:after="0"/>
              <w:jc w:val="center"/>
              <w:rPr>
                <w:sz w:val="20"/>
                <w:szCs w:val="20"/>
              </w:rPr>
            </w:pPr>
            <w:r w:rsidRPr="00822658">
              <w:rPr>
                <w:sz w:val="20"/>
                <w:szCs w:val="20"/>
              </w:rPr>
              <w:t>12%</w:t>
            </w:r>
          </w:p>
        </w:tc>
      </w:tr>
      <w:tr w:rsidR="00C12B54" w:rsidRPr="00AA3767" w14:paraId="021B5101" w14:textId="77777777" w:rsidTr="00FC2534">
        <w:trPr>
          <w:trHeight w:val="28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05FF9E0B" w14:textId="7DB603BB" w:rsidR="00C12B54" w:rsidRPr="00822658" w:rsidRDefault="00C12B54" w:rsidP="00FC2534">
            <w:pPr>
              <w:spacing w:after="0"/>
              <w:jc w:val="center"/>
              <w:rPr>
                <w:sz w:val="20"/>
                <w:szCs w:val="20"/>
              </w:rPr>
            </w:pPr>
            <w:r w:rsidRPr="00822658">
              <w:rPr>
                <w:sz w:val="20"/>
                <w:szCs w:val="20"/>
              </w:rPr>
              <w:t>3-5 orders</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A5EC2B2" w14:textId="77777777" w:rsidR="00C12B54" w:rsidRPr="00822658" w:rsidRDefault="00C12B54" w:rsidP="00822658">
            <w:pPr>
              <w:spacing w:after="0"/>
              <w:jc w:val="center"/>
              <w:rPr>
                <w:sz w:val="20"/>
                <w:szCs w:val="20"/>
              </w:rPr>
            </w:pPr>
            <w:r w:rsidRPr="00822658">
              <w:rPr>
                <w:sz w:val="20"/>
                <w:szCs w:val="20"/>
              </w:rPr>
              <w:t>48%</w:t>
            </w:r>
          </w:p>
        </w:tc>
        <w:tc>
          <w:tcPr>
            <w:tcW w:w="13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05FF111" w14:textId="77777777" w:rsidR="00C12B54" w:rsidRPr="00822658" w:rsidRDefault="00C12B54" w:rsidP="00822658">
            <w:pPr>
              <w:spacing w:after="0"/>
              <w:jc w:val="center"/>
              <w:rPr>
                <w:sz w:val="20"/>
                <w:szCs w:val="20"/>
              </w:rPr>
            </w:pPr>
            <w:r w:rsidRPr="00822658">
              <w:rPr>
                <w:sz w:val="20"/>
                <w:szCs w:val="20"/>
              </w:rPr>
              <w:t>48%</w:t>
            </w:r>
          </w:p>
        </w:tc>
        <w:tc>
          <w:tcPr>
            <w:tcW w:w="73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BB0012D" w14:textId="77777777" w:rsidR="00C12B54" w:rsidRPr="00822658" w:rsidRDefault="00C12B54" w:rsidP="00822658">
            <w:pPr>
              <w:spacing w:after="0"/>
              <w:jc w:val="center"/>
              <w:rPr>
                <w:sz w:val="20"/>
                <w:szCs w:val="20"/>
              </w:rPr>
            </w:pPr>
            <w:r w:rsidRPr="00822658">
              <w:rPr>
                <w:sz w:val="20"/>
                <w:szCs w:val="20"/>
              </w:rPr>
              <w:t>23%</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A29F9B0" w14:textId="77777777" w:rsidR="00C12B54" w:rsidRPr="00822658" w:rsidRDefault="00C12B54" w:rsidP="00822658">
            <w:pPr>
              <w:spacing w:after="0"/>
              <w:jc w:val="center"/>
              <w:rPr>
                <w:sz w:val="20"/>
                <w:szCs w:val="20"/>
              </w:rPr>
            </w:pPr>
            <w:r w:rsidRPr="00822658">
              <w:rPr>
                <w:sz w:val="20"/>
                <w:szCs w:val="20"/>
              </w:rPr>
              <w:t>16%</w:t>
            </w:r>
          </w:p>
        </w:tc>
        <w:tc>
          <w:tcPr>
            <w:tcW w:w="129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75C7C5B" w14:textId="77777777" w:rsidR="00C12B54" w:rsidRPr="00822658" w:rsidRDefault="00C12B54" w:rsidP="00822658">
            <w:pPr>
              <w:spacing w:after="0"/>
              <w:jc w:val="center"/>
              <w:rPr>
                <w:sz w:val="20"/>
                <w:szCs w:val="20"/>
              </w:rPr>
            </w:pPr>
            <w:r w:rsidRPr="00822658">
              <w:rPr>
                <w:sz w:val="20"/>
                <w:szCs w:val="20"/>
              </w:rPr>
              <w:t>18%</w:t>
            </w:r>
          </w:p>
        </w:tc>
      </w:tr>
      <w:tr w:rsidR="00C12B54" w:rsidRPr="00AA3767" w14:paraId="05A5BFEC" w14:textId="77777777" w:rsidTr="00FC2534">
        <w:trPr>
          <w:trHeight w:val="28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6CFF51B4" w14:textId="4ABA1678" w:rsidR="00C12B54" w:rsidRPr="00822658" w:rsidRDefault="00C12B54" w:rsidP="00FC2534">
            <w:pPr>
              <w:spacing w:after="0"/>
              <w:jc w:val="center"/>
              <w:rPr>
                <w:sz w:val="20"/>
                <w:szCs w:val="20"/>
              </w:rPr>
            </w:pPr>
            <w:r w:rsidRPr="00822658">
              <w:rPr>
                <w:sz w:val="20"/>
                <w:szCs w:val="20"/>
              </w:rPr>
              <w:t>2 orders</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9EE4508" w14:textId="77777777" w:rsidR="00C12B54" w:rsidRPr="00822658" w:rsidRDefault="00C12B54" w:rsidP="00822658">
            <w:pPr>
              <w:spacing w:after="0"/>
              <w:jc w:val="center"/>
              <w:rPr>
                <w:sz w:val="20"/>
                <w:szCs w:val="20"/>
              </w:rPr>
            </w:pPr>
            <w:r w:rsidRPr="00822658">
              <w:rPr>
                <w:sz w:val="20"/>
                <w:szCs w:val="20"/>
              </w:rPr>
              <w:t>42%</w:t>
            </w:r>
          </w:p>
        </w:tc>
        <w:tc>
          <w:tcPr>
            <w:tcW w:w="13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4DAF7D4" w14:textId="77777777" w:rsidR="00C12B54" w:rsidRPr="00822658" w:rsidRDefault="00C12B54" w:rsidP="00822658">
            <w:pPr>
              <w:spacing w:after="0"/>
              <w:jc w:val="center"/>
              <w:rPr>
                <w:sz w:val="20"/>
                <w:szCs w:val="20"/>
              </w:rPr>
            </w:pPr>
            <w:r w:rsidRPr="00822658">
              <w:rPr>
                <w:sz w:val="20"/>
                <w:szCs w:val="20"/>
              </w:rPr>
              <w:t>43%</w:t>
            </w:r>
          </w:p>
        </w:tc>
        <w:tc>
          <w:tcPr>
            <w:tcW w:w="73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F627B7F" w14:textId="77777777" w:rsidR="00C12B54" w:rsidRPr="00822658" w:rsidRDefault="00C12B54" w:rsidP="00822658">
            <w:pPr>
              <w:spacing w:after="0"/>
              <w:jc w:val="center"/>
              <w:rPr>
                <w:sz w:val="20"/>
                <w:szCs w:val="20"/>
              </w:rPr>
            </w:pPr>
            <w:r w:rsidRPr="00822658">
              <w:rPr>
                <w:sz w:val="20"/>
                <w:szCs w:val="20"/>
              </w:rPr>
              <w:t>24%</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0289E2A" w14:textId="77777777" w:rsidR="00C12B54" w:rsidRPr="00822658" w:rsidRDefault="00C12B54" w:rsidP="00822658">
            <w:pPr>
              <w:spacing w:after="0"/>
              <w:jc w:val="center"/>
              <w:rPr>
                <w:sz w:val="20"/>
                <w:szCs w:val="20"/>
              </w:rPr>
            </w:pPr>
            <w:r w:rsidRPr="00822658">
              <w:rPr>
                <w:sz w:val="20"/>
                <w:szCs w:val="20"/>
              </w:rPr>
              <w:t>27%</w:t>
            </w:r>
          </w:p>
        </w:tc>
        <w:tc>
          <w:tcPr>
            <w:tcW w:w="129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14881BA" w14:textId="77777777" w:rsidR="00C12B54" w:rsidRPr="00822658" w:rsidRDefault="00C12B54" w:rsidP="00822658">
            <w:pPr>
              <w:spacing w:after="0"/>
              <w:jc w:val="center"/>
              <w:rPr>
                <w:sz w:val="20"/>
                <w:szCs w:val="20"/>
              </w:rPr>
            </w:pPr>
            <w:r w:rsidRPr="00822658">
              <w:rPr>
                <w:sz w:val="20"/>
                <w:szCs w:val="20"/>
              </w:rPr>
              <w:t>16%</w:t>
            </w:r>
          </w:p>
        </w:tc>
      </w:tr>
      <w:tr w:rsidR="00C12B54" w:rsidRPr="00AA3767" w14:paraId="5DBD32C6" w14:textId="77777777" w:rsidTr="00FC2534">
        <w:trPr>
          <w:trHeight w:val="285"/>
          <w:jc w:val="center"/>
        </w:trPr>
        <w:tc>
          <w:tcPr>
            <w:tcW w:w="1275" w:type="dxa"/>
            <w:tcBorders>
              <w:top w:val="single" w:sz="6" w:space="0" w:color="auto"/>
              <w:left w:val="single" w:sz="6" w:space="0" w:color="auto"/>
              <w:bottom w:val="single" w:sz="6" w:space="0" w:color="auto"/>
              <w:right w:val="single" w:sz="6" w:space="0" w:color="auto"/>
            </w:tcBorders>
            <w:shd w:val="clear" w:color="auto" w:fill="auto"/>
            <w:vAlign w:val="center"/>
            <w:hideMark/>
          </w:tcPr>
          <w:p w14:paraId="42C0843F" w14:textId="5FFCC50B" w:rsidR="00C12B54" w:rsidRPr="00822658" w:rsidRDefault="00C12B54" w:rsidP="00FC2534">
            <w:pPr>
              <w:spacing w:after="0"/>
              <w:jc w:val="center"/>
              <w:rPr>
                <w:sz w:val="20"/>
                <w:szCs w:val="20"/>
              </w:rPr>
            </w:pPr>
            <w:r w:rsidRPr="00822658">
              <w:rPr>
                <w:sz w:val="20"/>
                <w:szCs w:val="20"/>
              </w:rPr>
              <w:t>1 order</w:t>
            </w:r>
          </w:p>
        </w:tc>
        <w:tc>
          <w:tcPr>
            <w:tcW w:w="136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E9E319C" w14:textId="77777777" w:rsidR="00C12B54" w:rsidRPr="00822658" w:rsidRDefault="00C12B54" w:rsidP="00822658">
            <w:pPr>
              <w:spacing w:after="0"/>
              <w:jc w:val="center"/>
              <w:rPr>
                <w:sz w:val="20"/>
                <w:szCs w:val="20"/>
              </w:rPr>
            </w:pPr>
            <w:r w:rsidRPr="00822658">
              <w:rPr>
                <w:sz w:val="20"/>
                <w:szCs w:val="20"/>
              </w:rPr>
              <w:t>26%</w:t>
            </w:r>
          </w:p>
        </w:tc>
        <w:tc>
          <w:tcPr>
            <w:tcW w:w="130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5E22DE0" w14:textId="77777777" w:rsidR="00C12B54" w:rsidRPr="00822658" w:rsidRDefault="00C12B54" w:rsidP="00822658">
            <w:pPr>
              <w:spacing w:after="0"/>
              <w:jc w:val="center"/>
              <w:rPr>
                <w:sz w:val="20"/>
                <w:szCs w:val="20"/>
              </w:rPr>
            </w:pPr>
            <w:r w:rsidRPr="00822658">
              <w:rPr>
                <w:sz w:val="20"/>
                <w:szCs w:val="20"/>
              </w:rPr>
              <w:t>28%</w:t>
            </w:r>
          </w:p>
        </w:tc>
        <w:tc>
          <w:tcPr>
            <w:tcW w:w="73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106BC20" w14:textId="77777777" w:rsidR="00C12B54" w:rsidRPr="00822658" w:rsidRDefault="00C12B54" w:rsidP="00822658">
            <w:pPr>
              <w:spacing w:after="0"/>
              <w:jc w:val="center"/>
              <w:rPr>
                <w:sz w:val="20"/>
                <w:szCs w:val="20"/>
              </w:rPr>
            </w:pPr>
            <w:r w:rsidRPr="00822658">
              <w:rPr>
                <w:sz w:val="20"/>
                <w:szCs w:val="20"/>
              </w:rPr>
              <w:t>22%</w:t>
            </w:r>
          </w:p>
        </w:tc>
        <w:tc>
          <w:tcPr>
            <w:tcW w:w="127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4A6BD19F" w14:textId="77777777" w:rsidR="00C12B54" w:rsidRPr="00822658" w:rsidRDefault="00C12B54" w:rsidP="00822658">
            <w:pPr>
              <w:spacing w:after="0"/>
              <w:jc w:val="center"/>
              <w:rPr>
                <w:sz w:val="20"/>
                <w:szCs w:val="20"/>
              </w:rPr>
            </w:pPr>
            <w:r w:rsidRPr="00822658">
              <w:rPr>
                <w:sz w:val="20"/>
                <w:szCs w:val="20"/>
              </w:rPr>
              <w:t>51%</w:t>
            </w:r>
          </w:p>
        </w:tc>
        <w:tc>
          <w:tcPr>
            <w:tcW w:w="129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5558ADE" w14:textId="77777777" w:rsidR="00C12B54" w:rsidRPr="00822658" w:rsidRDefault="00C12B54" w:rsidP="00822658">
            <w:pPr>
              <w:spacing w:after="0"/>
              <w:jc w:val="center"/>
              <w:rPr>
                <w:sz w:val="20"/>
                <w:szCs w:val="20"/>
              </w:rPr>
            </w:pPr>
            <w:r w:rsidRPr="00822658">
              <w:rPr>
                <w:sz w:val="20"/>
                <w:szCs w:val="20"/>
              </w:rPr>
              <w:t>11%</w:t>
            </w:r>
          </w:p>
        </w:tc>
      </w:tr>
    </w:tbl>
    <w:p w14:paraId="3E51C4C0" w14:textId="46D916E4" w:rsidR="00C12B54" w:rsidRPr="00822658" w:rsidRDefault="00C12B54" w:rsidP="00A55EAB">
      <w:pPr>
        <w:spacing w:after="0"/>
        <w:jc w:val="center"/>
        <w:rPr>
          <w:sz w:val="20"/>
          <w:szCs w:val="20"/>
        </w:rPr>
      </w:pPr>
      <w:r w:rsidRPr="00822658">
        <w:rPr>
          <w:b/>
          <w:bCs/>
          <w:sz w:val="20"/>
          <w:szCs w:val="20"/>
        </w:rPr>
        <w:t xml:space="preserve">Table </w:t>
      </w:r>
      <w:r w:rsidR="00052424" w:rsidRPr="00822658">
        <w:rPr>
          <w:b/>
          <w:bCs/>
          <w:sz w:val="20"/>
          <w:szCs w:val="20"/>
        </w:rPr>
        <w:t>4</w:t>
      </w:r>
      <w:r w:rsidRPr="00822658">
        <w:rPr>
          <w:b/>
          <w:bCs/>
          <w:sz w:val="20"/>
          <w:szCs w:val="20"/>
        </w:rPr>
        <w:t xml:space="preserve">: </w:t>
      </w:r>
      <w:r w:rsidRPr="00822658">
        <w:rPr>
          <w:sz w:val="20"/>
          <w:szCs w:val="20"/>
        </w:rPr>
        <w:t>Proportion of people by disability type,</w:t>
      </w:r>
      <w:r w:rsidRPr="00822658">
        <w:rPr>
          <w:b/>
          <w:bCs/>
          <w:sz w:val="20"/>
          <w:szCs w:val="20"/>
        </w:rPr>
        <w:t xml:space="preserve"> </w:t>
      </w:r>
      <w:r w:rsidRPr="00822658">
        <w:rPr>
          <w:sz w:val="20"/>
          <w:szCs w:val="20"/>
        </w:rPr>
        <w:t>by number of guardianship orders</w:t>
      </w:r>
    </w:p>
    <w:p w14:paraId="71C8A0D9" w14:textId="77777777" w:rsidR="00C12B54" w:rsidRDefault="00C12B54" w:rsidP="008A6FB1">
      <w:pPr>
        <w:pStyle w:val="Heading2"/>
      </w:pPr>
      <w:bookmarkStart w:id="15" w:name="_Toc200963478"/>
      <w:r>
        <w:t>Relationship between age and disability</w:t>
      </w:r>
      <w:bookmarkEnd w:id="15"/>
    </w:p>
    <w:p w14:paraId="38CF8830" w14:textId="1EFCF3EB" w:rsidR="00C12B54" w:rsidRDefault="00C93CB5" w:rsidP="00C12B54">
      <w:r>
        <w:t>For</w:t>
      </w:r>
      <w:r w:rsidR="00DD5DF8">
        <w:t xml:space="preserve"> people under</w:t>
      </w:r>
      <w:r w:rsidR="005701DE">
        <w:t xml:space="preserve"> guardianship</w:t>
      </w:r>
      <w:r>
        <w:t xml:space="preserve">, </w:t>
      </w:r>
      <w:r w:rsidR="00C12B54">
        <w:t xml:space="preserve">age and </w:t>
      </w:r>
      <w:r w:rsidR="00F8779B">
        <w:t xml:space="preserve">type of </w:t>
      </w:r>
      <w:r w:rsidR="00C12B54">
        <w:t>disability is highly correlated.</w:t>
      </w:r>
      <w:r w:rsidR="00702932" w:rsidRPr="00702932">
        <w:t xml:space="preserve"> </w:t>
      </w:r>
      <w:r w:rsidR="002B77A9">
        <w:t>Th</w:t>
      </w:r>
      <w:r w:rsidR="009D54FF">
        <w:t xml:space="preserve">is </w:t>
      </w:r>
      <w:r w:rsidR="002B77A9">
        <w:t xml:space="preserve">analysis revealed that </w:t>
      </w:r>
      <w:r w:rsidR="00D425E4">
        <w:t>r</w:t>
      </w:r>
      <w:r w:rsidR="00702932" w:rsidRPr="00F71F24">
        <w:t>egardless of age group, people with intellectual disability and/or psychiatric disability are more likely to be subject to multiple guardianship orders than other people.</w:t>
      </w:r>
    </w:p>
    <w:p w14:paraId="0CA86DE3" w14:textId="387951D7" w:rsidR="00C12B54" w:rsidRDefault="00C12B54" w:rsidP="00C12B54">
      <w:r>
        <w:t xml:space="preserve">Looking at </w:t>
      </w:r>
      <w:r w:rsidR="00A94D5B">
        <w:t xml:space="preserve">the </w:t>
      </w:r>
      <w:r w:rsidR="009D54FF">
        <w:t xml:space="preserve">type of </w:t>
      </w:r>
      <w:r>
        <w:t>disability for all clients under 65 years of age, slightly more than 3 out of 4 clients reported an intellectual disability, psychiatric disability or a combination including the two. Of the remaining clients, 17.4 per cent reported an ABI and 5.4 per cent reported dementia as their disability.</w:t>
      </w:r>
    </w:p>
    <w:p w14:paraId="348C45C7" w14:textId="70C0D41C" w:rsidR="00C12B54" w:rsidRDefault="00C12B54" w:rsidP="00C12B54">
      <w:r>
        <w:t xml:space="preserve">For people aged </w:t>
      </w:r>
      <w:r w:rsidR="008560F6">
        <w:t>18–</w:t>
      </w:r>
      <w:r>
        <w:t>6</w:t>
      </w:r>
      <w:r w:rsidR="003F29CD">
        <w:t>4</w:t>
      </w:r>
      <w:r>
        <w:t xml:space="preserve"> years, as </w:t>
      </w:r>
      <w:r w:rsidR="00A33E75">
        <w:t xml:space="preserve">the </w:t>
      </w:r>
      <w:r>
        <w:t xml:space="preserve">length of time subject to guardianship increases so does the proportion </w:t>
      </w:r>
      <w:r w:rsidR="002704BA">
        <w:t xml:space="preserve">of people </w:t>
      </w:r>
      <w:r>
        <w:t>recorded as having an intellectual disability</w:t>
      </w:r>
      <w:r w:rsidRPr="34854EE5">
        <w:t>,</w:t>
      </w:r>
      <w:r>
        <w:t xml:space="preserve"> a psychiatric disability or a combination of the two. Almost 9 out of 10 </w:t>
      </w:r>
      <w:r w:rsidR="00A33E75">
        <w:t xml:space="preserve">people </w:t>
      </w:r>
      <w:r>
        <w:t xml:space="preserve">who </w:t>
      </w:r>
      <w:r w:rsidR="00DB3692">
        <w:t xml:space="preserve">received </w:t>
      </w:r>
      <w:r>
        <w:t xml:space="preserve">at least 3 </w:t>
      </w:r>
      <w:r w:rsidR="00DB3692">
        <w:t xml:space="preserve">guardianship </w:t>
      </w:r>
      <w:r>
        <w:t xml:space="preserve">orders </w:t>
      </w:r>
      <w:r w:rsidR="00383855">
        <w:t xml:space="preserve">live with </w:t>
      </w:r>
      <w:r>
        <w:t>these disabilities. A</w:t>
      </w:r>
      <w:r w:rsidR="00405A2E">
        <w:t xml:space="preserve"> further </w:t>
      </w:r>
      <w:r>
        <w:t>10 per cent were reported to have an ABI.</w:t>
      </w:r>
    </w:p>
    <w:p w14:paraId="045DB27F" w14:textId="64453729" w:rsidR="00C12B54" w:rsidRDefault="00C12B54" w:rsidP="00555415">
      <w:pPr>
        <w:ind w:right="-279"/>
      </w:pPr>
      <w:r>
        <w:lastRenderedPageBreak/>
        <w:t xml:space="preserve">For people aged over 65, 82 per cent have dementia, another 12 per cent have intellectual </w:t>
      </w:r>
      <w:r w:rsidR="002327D9">
        <w:t>and/</w:t>
      </w:r>
      <w:r>
        <w:t xml:space="preserve">or psychiatric disability (or combination thereof), </w:t>
      </w:r>
      <w:r w:rsidR="00A24E72">
        <w:t xml:space="preserve">and </w:t>
      </w:r>
      <w:r>
        <w:t xml:space="preserve">the </w:t>
      </w:r>
      <w:r w:rsidR="00DA0A95">
        <w:t xml:space="preserve">remaining </w:t>
      </w:r>
      <w:r>
        <w:t xml:space="preserve">6 per cent report either an ABI or a physical disability. </w:t>
      </w:r>
      <w:r w:rsidR="00EA56AB">
        <w:t>Among people who had experienced 3 or more orders and were also over 65, 63 per cent recorded having dementia and 31 per cent had</w:t>
      </w:r>
      <w:r w:rsidR="00621641">
        <w:t xml:space="preserve"> </w:t>
      </w:r>
      <w:r w:rsidR="00EA56AB">
        <w:t xml:space="preserve">intellectual and/or a psychiatric disability. </w:t>
      </w:r>
    </w:p>
    <w:p w14:paraId="135F6A19" w14:textId="77777777" w:rsidR="00C12B54" w:rsidRDefault="00C12B54" w:rsidP="008A6FB1">
      <w:pPr>
        <w:pStyle w:val="Heading2"/>
      </w:pPr>
      <w:bookmarkStart w:id="16" w:name="_Toc200963479"/>
      <w:r>
        <w:t>Aboriginal and Torres Strait Islander status</w:t>
      </w:r>
      <w:bookmarkEnd w:id="16"/>
    </w:p>
    <w:p w14:paraId="4E760079" w14:textId="5A9AA658" w:rsidR="00C12B54" w:rsidRDefault="00C12B54" w:rsidP="00C12B54">
      <w:pPr>
        <w:spacing w:after="0"/>
        <w:ind w:right="-427"/>
      </w:pPr>
      <w:r>
        <w:t>The</w:t>
      </w:r>
      <w:r w:rsidR="00C328BF">
        <w:t xml:space="preserve">re was no </w:t>
      </w:r>
      <w:r w:rsidR="00C328BF" w:rsidRPr="00B7316B">
        <w:t>statistically significant</w:t>
      </w:r>
      <w:r w:rsidR="00C328BF">
        <w:t xml:space="preserve"> </w:t>
      </w:r>
      <w:r>
        <w:t>d</w:t>
      </w:r>
      <w:r w:rsidRPr="00B7316B">
        <w:t>ifference between</w:t>
      </w:r>
      <w:r w:rsidR="00D779CB">
        <w:t xml:space="preserve"> </w:t>
      </w:r>
      <w:r w:rsidR="006C358F">
        <w:t>I</w:t>
      </w:r>
      <w:r w:rsidR="00D779CB">
        <w:t>ndigenous and non-</w:t>
      </w:r>
      <w:r w:rsidR="006C358F">
        <w:t>I</w:t>
      </w:r>
      <w:r w:rsidR="00D779CB">
        <w:t xml:space="preserve">ndigenous </w:t>
      </w:r>
      <w:r w:rsidRPr="00B7316B">
        <w:t xml:space="preserve">status </w:t>
      </w:r>
      <w:r w:rsidR="007E7B8D">
        <w:t>within the sample.</w:t>
      </w:r>
      <w:r w:rsidRPr="00B7316B">
        <w:rPr>
          <w:rStyle w:val="FootnoteReference"/>
        </w:rPr>
        <w:footnoteReference w:id="15"/>
      </w:r>
    </w:p>
    <w:p w14:paraId="1FFCEF0F" w14:textId="77777777" w:rsidR="00C12B54" w:rsidRPr="00B7316B" w:rsidRDefault="00C12B54" w:rsidP="00C12B54">
      <w:pPr>
        <w:spacing w:after="0"/>
        <w:ind w:right="-427"/>
      </w:pPr>
    </w:p>
    <w:tbl>
      <w:tblPr>
        <w:tblW w:w="72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1531"/>
        <w:gridCol w:w="1531"/>
        <w:gridCol w:w="1531"/>
        <w:gridCol w:w="1514"/>
      </w:tblGrid>
      <w:tr w:rsidR="00C12B54" w:rsidRPr="00B7316B" w14:paraId="7D51DBE9" w14:textId="77777777" w:rsidTr="000D201C">
        <w:trPr>
          <w:trHeight w:val="290"/>
          <w:jc w:val="center"/>
        </w:trPr>
        <w:tc>
          <w:tcPr>
            <w:tcW w:w="1134" w:type="dxa"/>
            <w:shd w:val="clear" w:color="auto" w:fill="CAEDFB" w:themeFill="accent4" w:themeFillTint="33"/>
            <w:noWrap/>
            <w:vAlign w:val="bottom"/>
            <w:hideMark/>
          </w:tcPr>
          <w:p w14:paraId="456BE8C4" w14:textId="77777777" w:rsidR="00C12B54" w:rsidRPr="00760416" w:rsidRDefault="00C12B54" w:rsidP="00E16B13">
            <w:pPr>
              <w:spacing w:before="40" w:after="40"/>
              <w:jc w:val="center"/>
              <w:rPr>
                <w:rFonts w:eastAsia="Times New Roman"/>
                <w:color w:val="000000"/>
                <w:sz w:val="20"/>
                <w:szCs w:val="20"/>
              </w:rPr>
            </w:pPr>
          </w:p>
        </w:tc>
        <w:tc>
          <w:tcPr>
            <w:tcW w:w="1531" w:type="dxa"/>
            <w:shd w:val="clear" w:color="auto" w:fill="CAEDFB" w:themeFill="accent4" w:themeFillTint="33"/>
            <w:noWrap/>
            <w:vAlign w:val="bottom"/>
            <w:hideMark/>
          </w:tcPr>
          <w:p w14:paraId="57CD8AA2"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6+ orders (n=41)</w:t>
            </w:r>
          </w:p>
        </w:tc>
        <w:tc>
          <w:tcPr>
            <w:tcW w:w="1531" w:type="dxa"/>
            <w:shd w:val="clear" w:color="auto" w:fill="CAEDFB" w:themeFill="accent4" w:themeFillTint="33"/>
            <w:noWrap/>
            <w:vAlign w:val="bottom"/>
            <w:hideMark/>
          </w:tcPr>
          <w:p w14:paraId="034C441E"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3-5 orders (n=191)</w:t>
            </w:r>
          </w:p>
        </w:tc>
        <w:tc>
          <w:tcPr>
            <w:tcW w:w="1531" w:type="dxa"/>
            <w:shd w:val="clear" w:color="auto" w:fill="CAEDFB" w:themeFill="accent4" w:themeFillTint="33"/>
            <w:noWrap/>
            <w:vAlign w:val="bottom"/>
            <w:hideMark/>
          </w:tcPr>
          <w:p w14:paraId="1FDDEF85"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2 orders (n=96)</w:t>
            </w:r>
          </w:p>
        </w:tc>
        <w:tc>
          <w:tcPr>
            <w:tcW w:w="1514" w:type="dxa"/>
            <w:shd w:val="clear" w:color="auto" w:fill="CAEDFB" w:themeFill="accent4" w:themeFillTint="33"/>
          </w:tcPr>
          <w:p w14:paraId="203A72C6"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1 order (n=440)</w:t>
            </w:r>
          </w:p>
        </w:tc>
      </w:tr>
      <w:tr w:rsidR="00C12B54" w:rsidRPr="00B7316B" w14:paraId="272270EC" w14:textId="77777777" w:rsidTr="000D201C">
        <w:trPr>
          <w:trHeight w:val="290"/>
          <w:jc w:val="center"/>
        </w:trPr>
        <w:tc>
          <w:tcPr>
            <w:tcW w:w="1134" w:type="dxa"/>
            <w:shd w:val="clear" w:color="auto" w:fill="auto"/>
            <w:noWrap/>
            <w:vAlign w:val="bottom"/>
            <w:hideMark/>
          </w:tcPr>
          <w:p w14:paraId="486E6C82"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Yes</w:t>
            </w:r>
          </w:p>
        </w:tc>
        <w:tc>
          <w:tcPr>
            <w:tcW w:w="1531" w:type="dxa"/>
            <w:shd w:val="clear" w:color="auto" w:fill="auto"/>
            <w:noWrap/>
            <w:vAlign w:val="bottom"/>
            <w:hideMark/>
          </w:tcPr>
          <w:p w14:paraId="4F45A299"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4.9%</w:t>
            </w:r>
          </w:p>
        </w:tc>
        <w:tc>
          <w:tcPr>
            <w:tcW w:w="1531" w:type="dxa"/>
            <w:shd w:val="clear" w:color="auto" w:fill="auto"/>
            <w:noWrap/>
            <w:vAlign w:val="bottom"/>
            <w:hideMark/>
          </w:tcPr>
          <w:p w14:paraId="3D7BAC96"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5.2%</w:t>
            </w:r>
          </w:p>
        </w:tc>
        <w:tc>
          <w:tcPr>
            <w:tcW w:w="1531" w:type="dxa"/>
            <w:shd w:val="clear" w:color="auto" w:fill="auto"/>
            <w:noWrap/>
            <w:vAlign w:val="bottom"/>
            <w:hideMark/>
          </w:tcPr>
          <w:p w14:paraId="4C98CAA3"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7.3%</w:t>
            </w:r>
          </w:p>
        </w:tc>
        <w:tc>
          <w:tcPr>
            <w:tcW w:w="1514" w:type="dxa"/>
          </w:tcPr>
          <w:p w14:paraId="1CA2A862"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6.1%</w:t>
            </w:r>
          </w:p>
        </w:tc>
      </w:tr>
      <w:tr w:rsidR="00C12B54" w:rsidRPr="00B7316B" w14:paraId="0A329974" w14:textId="77777777" w:rsidTr="000D201C">
        <w:trPr>
          <w:trHeight w:val="290"/>
          <w:jc w:val="center"/>
        </w:trPr>
        <w:tc>
          <w:tcPr>
            <w:tcW w:w="1134" w:type="dxa"/>
            <w:shd w:val="clear" w:color="auto" w:fill="auto"/>
            <w:noWrap/>
            <w:vAlign w:val="bottom"/>
            <w:hideMark/>
          </w:tcPr>
          <w:p w14:paraId="6F52E5D9"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No</w:t>
            </w:r>
          </w:p>
        </w:tc>
        <w:tc>
          <w:tcPr>
            <w:tcW w:w="1531" w:type="dxa"/>
            <w:shd w:val="clear" w:color="auto" w:fill="auto"/>
            <w:noWrap/>
            <w:vAlign w:val="bottom"/>
            <w:hideMark/>
          </w:tcPr>
          <w:p w14:paraId="5A48A70C" w14:textId="0CC7AD2B"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8</w:t>
            </w:r>
            <w:r w:rsidR="006972C3">
              <w:rPr>
                <w:rFonts w:eastAsia="Times New Roman"/>
                <w:color w:val="000000"/>
                <w:sz w:val="20"/>
                <w:szCs w:val="20"/>
              </w:rPr>
              <w:t>7</w:t>
            </w:r>
            <w:r w:rsidRPr="00760416">
              <w:rPr>
                <w:rFonts w:eastAsia="Times New Roman"/>
                <w:color w:val="000000"/>
                <w:sz w:val="20"/>
                <w:szCs w:val="20"/>
              </w:rPr>
              <w:t>.</w:t>
            </w:r>
            <w:r w:rsidR="006972C3">
              <w:rPr>
                <w:rFonts w:eastAsia="Times New Roman"/>
                <w:color w:val="000000"/>
                <w:sz w:val="20"/>
                <w:szCs w:val="20"/>
              </w:rPr>
              <w:t>8</w:t>
            </w:r>
            <w:r w:rsidRPr="00760416">
              <w:rPr>
                <w:rFonts w:eastAsia="Times New Roman"/>
                <w:color w:val="000000"/>
                <w:sz w:val="20"/>
                <w:szCs w:val="20"/>
              </w:rPr>
              <w:t>%</w:t>
            </w:r>
          </w:p>
        </w:tc>
        <w:tc>
          <w:tcPr>
            <w:tcW w:w="1531" w:type="dxa"/>
            <w:shd w:val="clear" w:color="auto" w:fill="auto"/>
            <w:noWrap/>
            <w:vAlign w:val="bottom"/>
            <w:hideMark/>
          </w:tcPr>
          <w:p w14:paraId="303D62E2"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90.1%</w:t>
            </w:r>
          </w:p>
        </w:tc>
        <w:tc>
          <w:tcPr>
            <w:tcW w:w="1531" w:type="dxa"/>
            <w:shd w:val="clear" w:color="auto" w:fill="auto"/>
            <w:noWrap/>
            <w:vAlign w:val="bottom"/>
            <w:hideMark/>
          </w:tcPr>
          <w:p w14:paraId="3E0744AE"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85.4%</w:t>
            </w:r>
          </w:p>
        </w:tc>
        <w:tc>
          <w:tcPr>
            <w:tcW w:w="1514" w:type="dxa"/>
          </w:tcPr>
          <w:p w14:paraId="37E2931D"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84.1%</w:t>
            </w:r>
          </w:p>
        </w:tc>
      </w:tr>
      <w:tr w:rsidR="00C12B54" w:rsidRPr="00B7316B" w14:paraId="5FA00C89" w14:textId="77777777" w:rsidTr="000D201C">
        <w:trPr>
          <w:trHeight w:val="290"/>
          <w:jc w:val="center"/>
        </w:trPr>
        <w:tc>
          <w:tcPr>
            <w:tcW w:w="1134" w:type="dxa"/>
            <w:shd w:val="clear" w:color="auto" w:fill="auto"/>
            <w:noWrap/>
            <w:vAlign w:val="bottom"/>
            <w:hideMark/>
          </w:tcPr>
          <w:p w14:paraId="5235A96B"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Unknown</w:t>
            </w:r>
          </w:p>
        </w:tc>
        <w:tc>
          <w:tcPr>
            <w:tcW w:w="1531" w:type="dxa"/>
            <w:shd w:val="clear" w:color="auto" w:fill="auto"/>
            <w:noWrap/>
            <w:vAlign w:val="bottom"/>
            <w:hideMark/>
          </w:tcPr>
          <w:p w14:paraId="6FB14323" w14:textId="4AAEDB26" w:rsidR="00C12B54" w:rsidRPr="00954776" w:rsidRDefault="00954776" w:rsidP="00E16B13">
            <w:pPr>
              <w:spacing w:before="40" w:after="40"/>
              <w:jc w:val="center"/>
              <w:rPr>
                <w:rFonts w:eastAsia="Times New Roman"/>
                <w:color w:val="000000" w:themeColor="text1"/>
                <w:sz w:val="20"/>
                <w:szCs w:val="20"/>
              </w:rPr>
            </w:pPr>
            <w:r>
              <w:rPr>
                <w:rFonts w:eastAsia="Times New Roman"/>
                <w:color w:val="000000" w:themeColor="text1"/>
                <w:sz w:val="20"/>
                <w:szCs w:val="20"/>
              </w:rPr>
              <w:t>7</w:t>
            </w:r>
            <w:r w:rsidR="00C12B54" w:rsidRPr="00760416">
              <w:rPr>
                <w:rFonts w:eastAsia="Times New Roman"/>
                <w:color w:val="000000" w:themeColor="text1"/>
                <w:sz w:val="20"/>
                <w:szCs w:val="20"/>
              </w:rPr>
              <w:t>.</w:t>
            </w:r>
            <w:r>
              <w:rPr>
                <w:rFonts w:eastAsia="Times New Roman"/>
                <w:color w:val="000000" w:themeColor="text1"/>
                <w:sz w:val="20"/>
                <w:szCs w:val="20"/>
              </w:rPr>
              <w:t>3</w:t>
            </w:r>
            <w:r w:rsidR="00C12B54" w:rsidRPr="00760416">
              <w:rPr>
                <w:rFonts w:eastAsia="Times New Roman"/>
                <w:color w:val="000000" w:themeColor="text1"/>
                <w:sz w:val="20"/>
                <w:szCs w:val="20"/>
              </w:rPr>
              <w:t>%</w:t>
            </w:r>
          </w:p>
        </w:tc>
        <w:tc>
          <w:tcPr>
            <w:tcW w:w="1531" w:type="dxa"/>
            <w:shd w:val="clear" w:color="auto" w:fill="auto"/>
            <w:noWrap/>
            <w:vAlign w:val="bottom"/>
            <w:hideMark/>
          </w:tcPr>
          <w:p w14:paraId="7E698AAD"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4.7%</w:t>
            </w:r>
          </w:p>
        </w:tc>
        <w:tc>
          <w:tcPr>
            <w:tcW w:w="1531" w:type="dxa"/>
            <w:shd w:val="clear" w:color="auto" w:fill="auto"/>
            <w:noWrap/>
            <w:vAlign w:val="bottom"/>
            <w:hideMark/>
          </w:tcPr>
          <w:p w14:paraId="31F9FD85"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7.3%</w:t>
            </w:r>
          </w:p>
        </w:tc>
        <w:tc>
          <w:tcPr>
            <w:tcW w:w="1514" w:type="dxa"/>
          </w:tcPr>
          <w:p w14:paraId="5E7F95BB" w14:textId="77777777" w:rsidR="00C12B54" w:rsidRPr="00760416" w:rsidRDefault="00C12B54" w:rsidP="00E16B13">
            <w:pPr>
              <w:spacing w:before="40" w:after="40"/>
              <w:jc w:val="center"/>
              <w:rPr>
                <w:rFonts w:eastAsia="Times New Roman"/>
                <w:color w:val="000000"/>
                <w:sz w:val="20"/>
                <w:szCs w:val="20"/>
              </w:rPr>
            </w:pPr>
            <w:r w:rsidRPr="00760416">
              <w:rPr>
                <w:rFonts w:eastAsia="Times New Roman"/>
                <w:color w:val="000000"/>
                <w:sz w:val="20"/>
                <w:szCs w:val="20"/>
              </w:rPr>
              <w:t>9.8%</w:t>
            </w:r>
          </w:p>
        </w:tc>
      </w:tr>
    </w:tbl>
    <w:p w14:paraId="3326B849" w14:textId="67ACCC97" w:rsidR="00D06A2D" w:rsidRPr="0009721C" w:rsidRDefault="00C12B54" w:rsidP="00F1651D">
      <w:pPr>
        <w:spacing w:after="0"/>
        <w:ind w:right="-613"/>
        <w:jc w:val="center"/>
        <w:rPr>
          <w:b/>
          <w:bCs/>
          <w:sz w:val="20"/>
          <w:szCs w:val="20"/>
        </w:rPr>
      </w:pPr>
      <w:r w:rsidRPr="0009721C">
        <w:rPr>
          <w:b/>
          <w:bCs/>
          <w:sz w:val="20"/>
          <w:szCs w:val="20"/>
        </w:rPr>
        <w:t xml:space="preserve">Table </w:t>
      </w:r>
      <w:r w:rsidR="00614787" w:rsidRPr="0009721C">
        <w:rPr>
          <w:b/>
          <w:bCs/>
          <w:sz w:val="20"/>
          <w:szCs w:val="20"/>
        </w:rPr>
        <w:t>5</w:t>
      </w:r>
      <w:r w:rsidRPr="0009721C">
        <w:rPr>
          <w:b/>
          <w:bCs/>
          <w:sz w:val="20"/>
          <w:szCs w:val="20"/>
        </w:rPr>
        <w:t xml:space="preserve">: </w:t>
      </w:r>
      <w:r w:rsidRPr="0009721C">
        <w:rPr>
          <w:sz w:val="20"/>
          <w:szCs w:val="20"/>
        </w:rPr>
        <w:t>Persons of Aboriginal or Torres Strait Islander de</w:t>
      </w:r>
      <w:r w:rsidR="00773A91">
        <w:rPr>
          <w:sz w:val="20"/>
          <w:szCs w:val="20"/>
        </w:rPr>
        <w:t>s</w:t>
      </w:r>
      <w:r w:rsidRPr="0009721C">
        <w:rPr>
          <w:sz w:val="20"/>
          <w:szCs w:val="20"/>
        </w:rPr>
        <w:t>cent, by number of guardianship orders.</w:t>
      </w:r>
    </w:p>
    <w:p w14:paraId="345658CA" w14:textId="77777777" w:rsidR="00803BCD" w:rsidRDefault="00803BCD" w:rsidP="004D46AB">
      <w:pPr>
        <w:pStyle w:val="Heading2"/>
        <w:spacing w:before="0" w:after="0"/>
      </w:pPr>
    </w:p>
    <w:p w14:paraId="25E71F4E" w14:textId="406D189F" w:rsidR="00C12B54" w:rsidRDefault="00C12B54" w:rsidP="008A6FB1">
      <w:pPr>
        <w:pStyle w:val="Heading2"/>
      </w:pPr>
      <w:bookmarkStart w:id="17" w:name="_Toc200963480"/>
      <w:r>
        <w:t>NDIS participant status</w:t>
      </w:r>
      <w:bookmarkEnd w:id="17"/>
    </w:p>
    <w:p w14:paraId="45F584F9" w14:textId="77777777" w:rsidR="00803BCD" w:rsidRPr="00803BCD" w:rsidRDefault="00803BCD" w:rsidP="00803BCD">
      <w:pPr>
        <w:spacing w:after="0"/>
      </w:pPr>
    </w:p>
    <w:tbl>
      <w:tblPr>
        <w:tblW w:w="8937" w:type="dxa"/>
        <w:jc w:val="center"/>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81"/>
        <w:gridCol w:w="936"/>
        <w:gridCol w:w="878"/>
        <w:gridCol w:w="1035"/>
        <w:gridCol w:w="902"/>
        <w:gridCol w:w="1012"/>
        <w:gridCol w:w="1048"/>
        <w:gridCol w:w="1107"/>
        <w:gridCol w:w="838"/>
      </w:tblGrid>
      <w:tr w:rsidR="00C12B54" w:rsidRPr="0029452B" w14:paraId="000D2404" w14:textId="77777777" w:rsidTr="000B64B8">
        <w:trPr>
          <w:trHeight w:val="285"/>
          <w:jc w:val="center"/>
        </w:trPr>
        <w:tc>
          <w:tcPr>
            <w:tcW w:w="1140" w:type="dxa"/>
            <w:vMerge w:val="restart"/>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18591CA0" w14:textId="58C0B6CE" w:rsidR="00C12B54" w:rsidRPr="0009721C" w:rsidRDefault="00C12B54" w:rsidP="00C77532">
            <w:pPr>
              <w:spacing w:after="0"/>
              <w:ind w:left="142"/>
              <w:jc w:val="center"/>
              <w:rPr>
                <w:sz w:val="20"/>
                <w:szCs w:val="20"/>
              </w:rPr>
            </w:pPr>
            <w:r w:rsidRPr="0009721C">
              <w:rPr>
                <w:b/>
                <w:bCs/>
                <w:sz w:val="20"/>
                <w:szCs w:val="20"/>
              </w:rPr>
              <w:t>NDIS participant</w:t>
            </w:r>
          </w:p>
        </w:tc>
        <w:tc>
          <w:tcPr>
            <w:tcW w:w="1825" w:type="dxa"/>
            <w:gridSpan w:val="2"/>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2DABD3D5" w14:textId="77777777" w:rsidR="00C12B54" w:rsidRPr="0009721C" w:rsidRDefault="00C12B54" w:rsidP="0009721C">
            <w:pPr>
              <w:spacing w:after="0"/>
              <w:jc w:val="center"/>
              <w:rPr>
                <w:sz w:val="20"/>
                <w:szCs w:val="20"/>
              </w:rPr>
            </w:pPr>
            <w:r w:rsidRPr="0009721C">
              <w:rPr>
                <w:sz w:val="20"/>
                <w:szCs w:val="20"/>
              </w:rPr>
              <w:t>6+ orders</w:t>
            </w:r>
          </w:p>
        </w:tc>
        <w:tc>
          <w:tcPr>
            <w:tcW w:w="1945" w:type="dxa"/>
            <w:gridSpan w:val="2"/>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33EA6494" w14:textId="77777777" w:rsidR="00C12B54" w:rsidRPr="0009721C" w:rsidRDefault="00C12B54" w:rsidP="0009721C">
            <w:pPr>
              <w:spacing w:after="0"/>
              <w:jc w:val="center"/>
              <w:rPr>
                <w:sz w:val="20"/>
                <w:szCs w:val="20"/>
              </w:rPr>
            </w:pPr>
            <w:r w:rsidRPr="0009721C">
              <w:rPr>
                <w:sz w:val="20"/>
                <w:szCs w:val="20"/>
              </w:rPr>
              <w:t>3-5 orders</w:t>
            </w:r>
          </w:p>
        </w:tc>
        <w:tc>
          <w:tcPr>
            <w:tcW w:w="2071" w:type="dxa"/>
            <w:gridSpan w:val="2"/>
            <w:tcBorders>
              <w:top w:val="single" w:sz="6" w:space="0" w:color="auto"/>
              <w:left w:val="single" w:sz="6" w:space="0" w:color="auto"/>
              <w:bottom w:val="single" w:sz="6" w:space="0" w:color="auto"/>
              <w:right w:val="double" w:sz="6" w:space="0" w:color="auto"/>
            </w:tcBorders>
            <w:shd w:val="clear" w:color="auto" w:fill="C1E4F5" w:themeFill="accent1" w:themeFillTint="33"/>
            <w:vAlign w:val="bottom"/>
            <w:hideMark/>
          </w:tcPr>
          <w:p w14:paraId="42213F35" w14:textId="77777777" w:rsidR="00C12B54" w:rsidRPr="0009721C" w:rsidRDefault="00C12B54" w:rsidP="0009721C">
            <w:pPr>
              <w:spacing w:after="0"/>
              <w:jc w:val="center"/>
              <w:rPr>
                <w:sz w:val="20"/>
                <w:szCs w:val="20"/>
              </w:rPr>
            </w:pPr>
            <w:r w:rsidRPr="0009721C">
              <w:rPr>
                <w:sz w:val="20"/>
                <w:szCs w:val="20"/>
              </w:rPr>
              <w:t>2 orders</w:t>
            </w:r>
          </w:p>
        </w:tc>
        <w:tc>
          <w:tcPr>
            <w:tcW w:w="1956" w:type="dxa"/>
            <w:gridSpan w:val="2"/>
            <w:tcBorders>
              <w:top w:val="single" w:sz="6" w:space="0" w:color="auto"/>
              <w:left w:val="double" w:sz="6" w:space="0" w:color="auto"/>
              <w:bottom w:val="single" w:sz="6" w:space="0" w:color="auto"/>
              <w:right w:val="single" w:sz="6" w:space="0" w:color="auto"/>
            </w:tcBorders>
            <w:shd w:val="clear" w:color="auto" w:fill="C1E4F5" w:themeFill="accent1" w:themeFillTint="33"/>
            <w:hideMark/>
          </w:tcPr>
          <w:p w14:paraId="1082AC00" w14:textId="77777777" w:rsidR="00C12B54" w:rsidRPr="0009721C" w:rsidRDefault="00C12B54" w:rsidP="0009721C">
            <w:pPr>
              <w:spacing w:after="0"/>
              <w:jc w:val="center"/>
              <w:rPr>
                <w:sz w:val="20"/>
                <w:szCs w:val="20"/>
              </w:rPr>
            </w:pPr>
            <w:r w:rsidRPr="0009721C">
              <w:rPr>
                <w:sz w:val="20"/>
                <w:szCs w:val="20"/>
              </w:rPr>
              <w:t>1 order</w:t>
            </w:r>
          </w:p>
        </w:tc>
      </w:tr>
      <w:tr w:rsidR="00C12B54" w:rsidRPr="0029452B" w14:paraId="778AE3F8" w14:textId="77777777" w:rsidTr="000B64B8">
        <w:trPr>
          <w:trHeight w:val="285"/>
          <w:jc w:val="center"/>
        </w:trPr>
        <w:tc>
          <w:tcPr>
            <w:tcW w:w="0" w:type="auto"/>
            <w:vMerge/>
            <w:tcBorders>
              <w:top w:val="single" w:sz="6" w:space="0" w:color="auto"/>
              <w:left w:val="single" w:sz="6" w:space="0" w:color="auto"/>
              <w:bottom w:val="single" w:sz="6" w:space="0" w:color="auto"/>
              <w:right w:val="single" w:sz="6" w:space="0" w:color="auto"/>
            </w:tcBorders>
            <w:shd w:val="clear" w:color="auto" w:fill="C1E4F5" w:themeFill="accent1" w:themeFillTint="33"/>
            <w:vAlign w:val="center"/>
            <w:hideMark/>
          </w:tcPr>
          <w:p w14:paraId="132B60C8" w14:textId="77777777" w:rsidR="00C12B54" w:rsidRPr="0009721C" w:rsidRDefault="00C12B54" w:rsidP="0009721C">
            <w:pPr>
              <w:spacing w:after="0"/>
              <w:rPr>
                <w:sz w:val="20"/>
                <w:szCs w:val="20"/>
              </w:rPr>
            </w:pPr>
          </w:p>
        </w:tc>
        <w:tc>
          <w:tcPr>
            <w:tcW w:w="941" w:type="dxa"/>
            <w:tcBorders>
              <w:top w:val="single" w:sz="6" w:space="0" w:color="auto"/>
              <w:left w:val="single" w:sz="6" w:space="0" w:color="auto"/>
              <w:bottom w:val="single" w:sz="6" w:space="0" w:color="auto"/>
              <w:right w:val="single" w:sz="6" w:space="0" w:color="auto"/>
            </w:tcBorders>
            <w:shd w:val="clear" w:color="auto" w:fill="C1E4F5" w:themeFill="accent1" w:themeFillTint="33"/>
            <w:vAlign w:val="bottom"/>
            <w:hideMark/>
          </w:tcPr>
          <w:p w14:paraId="022C9C66" w14:textId="77777777" w:rsidR="00C12B54" w:rsidRPr="0009721C" w:rsidRDefault="00C12B54" w:rsidP="0009721C">
            <w:pPr>
              <w:spacing w:after="0"/>
              <w:jc w:val="center"/>
              <w:rPr>
                <w:sz w:val="20"/>
                <w:szCs w:val="20"/>
              </w:rPr>
            </w:pPr>
            <w:r w:rsidRPr="0009721C">
              <w:rPr>
                <w:sz w:val="20"/>
                <w:szCs w:val="20"/>
              </w:rPr>
              <w:t>n=41</w:t>
            </w:r>
          </w:p>
        </w:tc>
        <w:tc>
          <w:tcPr>
            <w:tcW w:w="884" w:type="dxa"/>
            <w:tcBorders>
              <w:top w:val="single" w:sz="6" w:space="0" w:color="auto"/>
              <w:left w:val="single" w:sz="6" w:space="0" w:color="auto"/>
              <w:bottom w:val="single" w:sz="6" w:space="0" w:color="auto"/>
              <w:right w:val="double" w:sz="6" w:space="0" w:color="auto"/>
            </w:tcBorders>
            <w:shd w:val="clear" w:color="auto" w:fill="C1E4F5" w:themeFill="accent1" w:themeFillTint="33"/>
            <w:hideMark/>
          </w:tcPr>
          <w:p w14:paraId="0478979F" w14:textId="77777777" w:rsidR="00C12B54" w:rsidRPr="0009721C" w:rsidRDefault="00C12B54" w:rsidP="0009721C">
            <w:pPr>
              <w:spacing w:after="0"/>
              <w:jc w:val="center"/>
              <w:rPr>
                <w:sz w:val="20"/>
                <w:szCs w:val="20"/>
              </w:rPr>
            </w:pPr>
            <w:r w:rsidRPr="0009721C">
              <w:rPr>
                <w:sz w:val="20"/>
                <w:szCs w:val="20"/>
              </w:rPr>
              <w:t>%</w:t>
            </w:r>
          </w:p>
        </w:tc>
        <w:tc>
          <w:tcPr>
            <w:tcW w:w="1040" w:type="dxa"/>
            <w:tcBorders>
              <w:top w:val="single" w:sz="6" w:space="0" w:color="auto"/>
              <w:left w:val="double" w:sz="6" w:space="0" w:color="auto"/>
              <w:bottom w:val="single" w:sz="6" w:space="0" w:color="auto"/>
              <w:right w:val="single" w:sz="6" w:space="0" w:color="auto"/>
            </w:tcBorders>
            <w:shd w:val="clear" w:color="auto" w:fill="C1E4F5" w:themeFill="accent1" w:themeFillTint="33"/>
            <w:vAlign w:val="bottom"/>
            <w:hideMark/>
          </w:tcPr>
          <w:p w14:paraId="215D5047" w14:textId="77777777" w:rsidR="00C12B54" w:rsidRPr="0009721C" w:rsidRDefault="00C12B54" w:rsidP="0009721C">
            <w:pPr>
              <w:spacing w:after="0"/>
              <w:jc w:val="center"/>
              <w:rPr>
                <w:sz w:val="20"/>
                <w:szCs w:val="20"/>
              </w:rPr>
            </w:pPr>
            <w:r w:rsidRPr="0009721C">
              <w:rPr>
                <w:sz w:val="20"/>
                <w:szCs w:val="20"/>
              </w:rPr>
              <w:t>n=191</w:t>
            </w:r>
          </w:p>
        </w:tc>
        <w:tc>
          <w:tcPr>
            <w:tcW w:w="905" w:type="dxa"/>
            <w:tcBorders>
              <w:top w:val="single" w:sz="6" w:space="0" w:color="auto"/>
              <w:left w:val="single" w:sz="6" w:space="0" w:color="auto"/>
              <w:bottom w:val="single" w:sz="6" w:space="0" w:color="auto"/>
              <w:right w:val="double" w:sz="6" w:space="0" w:color="auto"/>
            </w:tcBorders>
            <w:shd w:val="clear" w:color="auto" w:fill="C1E4F5" w:themeFill="accent1" w:themeFillTint="33"/>
            <w:hideMark/>
          </w:tcPr>
          <w:p w14:paraId="13DD7DD6" w14:textId="77777777" w:rsidR="00C12B54" w:rsidRPr="0009721C" w:rsidRDefault="00C12B54" w:rsidP="0009721C">
            <w:pPr>
              <w:spacing w:after="0"/>
              <w:jc w:val="center"/>
              <w:rPr>
                <w:sz w:val="20"/>
                <w:szCs w:val="20"/>
              </w:rPr>
            </w:pPr>
            <w:r w:rsidRPr="0009721C">
              <w:rPr>
                <w:sz w:val="20"/>
                <w:szCs w:val="20"/>
              </w:rPr>
              <w:t>%</w:t>
            </w:r>
          </w:p>
        </w:tc>
        <w:tc>
          <w:tcPr>
            <w:tcW w:w="1018" w:type="dxa"/>
            <w:tcBorders>
              <w:top w:val="single" w:sz="6" w:space="0" w:color="auto"/>
              <w:left w:val="double" w:sz="6" w:space="0" w:color="auto"/>
              <w:bottom w:val="single" w:sz="6" w:space="0" w:color="auto"/>
              <w:right w:val="single" w:sz="6" w:space="0" w:color="auto"/>
            </w:tcBorders>
            <w:shd w:val="clear" w:color="auto" w:fill="C1E4F5" w:themeFill="accent1" w:themeFillTint="33"/>
            <w:vAlign w:val="bottom"/>
            <w:hideMark/>
          </w:tcPr>
          <w:p w14:paraId="333128C9" w14:textId="77777777" w:rsidR="00C12B54" w:rsidRPr="0009721C" w:rsidRDefault="00C12B54" w:rsidP="0009721C">
            <w:pPr>
              <w:spacing w:after="0"/>
              <w:jc w:val="center"/>
              <w:rPr>
                <w:sz w:val="20"/>
                <w:szCs w:val="20"/>
              </w:rPr>
            </w:pPr>
            <w:r w:rsidRPr="0009721C">
              <w:rPr>
                <w:sz w:val="20"/>
                <w:szCs w:val="20"/>
              </w:rPr>
              <w:t>n=96</w:t>
            </w:r>
          </w:p>
        </w:tc>
        <w:tc>
          <w:tcPr>
            <w:tcW w:w="1053" w:type="dxa"/>
            <w:tcBorders>
              <w:top w:val="single" w:sz="6" w:space="0" w:color="auto"/>
              <w:left w:val="single" w:sz="6" w:space="0" w:color="auto"/>
              <w:bottom w:val="single" w:sz="6" w:space="0" w:color="auto"/>
              <w:right w:val="double" w:sz="6" w:space="0" w:color="auto"/>
            </w:tcBorders>
            <w:shd w:val="clear" w:color="auto" w:fill="C1E4F5" w:themeFill="accent1" w:themeFillTint="33"/>
            <w:hideMark/>
          </w:tcPr>
          <w:p w14:paraId="7FF68563" w14:textId="77777777" w:rsidR="00C12B54" w:rsidRPr="0009721C" w:rsidRDefault="00C12B54" w:rsidP="0009721C">
            <w:pPr>
              <w:spacing w:after="0"/>
              <w:jc w:val="center"/>
              <w:rPr>
                <w:sz w:val="20"/>
                <w:szCs w:val="20"/>
              </w:rPr>
            </w:pPr>
            <w:r w:rsidRPr="0009721C">
              <w:rPr>
                <w:sz w:val="20"/>
                <w:szCs w:val="20"/>
              </w:rPr>
              <w:t>%</w:t>
            </w:r>
          </w:p>
        </w:tc>
        <w:tc>
          <w:tcPr>
            <w:tcW w:w="1113" w:type="dxa"/>
            <w:tcBorders>
              <w:top w:val="single" w:sz="6" w:space="0" w:color="auto"/>
              <w:left w:val="double" w:sz="6" w:space="0" w:color="auto"/>
              <w:bottom w:val="single" w:sz="6" w:space="0" w:color="auto"/>
              <w:right w:val="single" w:sz="6" w:space="0" w:color="auto"/>
            </w:tcBorders>
            <w:shd w:val="clear" w:color="auto" w:fill="C1E4F5" w:themeFill="accent1" w:themeFillTint="33"/>
            <w:hideMark/>
          </w:tcPr>
          <w:p w14:paraId="2F6831C5" w14:textId="77777777" w:rsidR="00C12B54" w:rsidRPr="0009721C" w:rsidRDefault="00C12B54" w:rsidP="0009721C">
            <w:pPr>
              <w:spacing w:after="0"/>
              <w:jc w:val="center"/>
              <w:rPr>
                <w:sz w:val="20"/>
                <w:szCs w:val="20"/>
              </w:rPr>
            </w:pPr>
            <w:r w:rsidRPr="0009721C">
              <w:rPr>
                <w:sz w:val="20"/>
                <w:szCs w:val="20"/>
              </w:rPr>
              <w:t>n=440</w:t>
            </w:r>
          </w:p>
        </w:tc>
        <w:tc>
          <w:tcPr>
            <w:tcW w:w="843" w:type="dxa"/>
            <w:tcBorders>
              <w:top w:val="single" w:sz="6" w:space="0" w:color="auto"/>
              <w:left w:val="single" w:sz="6" w:space="0" w:color="auto"/>
              <w:bottom w:val="single" w:sz="6" w:space="0" w:color="auto"/>
              <w:right w:val="single" w:sz="6" w:space="0" w:color="auto"/>
            </w:tcBorders>
            <w:shd w:val="clear" w:color="auto" w:fill="C1E4F5" w:themeFill="accent1" w:themeFillTint="33"/>
            <w:hideMark/>
          </w:tcPr>
          <w:p w14:paraId="4B4A2C1B" w14:textId="77777777" w:rsidR="00C12B54" w:rsidRPr="0009721C" w:rsidRDefault="00C12B54" w:rsidP="0009721C">
            <w:pPr>
              <w:spacing w:after="0"/>
              <w:jc w:val="center"/>
              <w:rPr>
                <w:sz w:val="20"/>
                <w:szCs w:val="20"/>
              </w:rPr>
            </w:pPr>
            <w:r w:rsidRPr="0009721C">
              <w:rPr>
                <w:sz w:val="20"/>
                <w:szCs w:val="20"/>
              </w:rPr>
              <w:t>%</w:t>
            </w:r>
          </w:p>
        </w:tc>
      </w:tr>
      <w:tr w:rsidR="00C12B54" w:rsidRPr="0029452B" w14:paraId="4230C5A6" w14:textId="77777777" w:rsidTr="00A55EAB">
        <w:trPr>
          <w:trHeight w:val="285"/>
          <w:jc w:val="center"/>
        </w:trPr>
        <w:tc>
          <w:tcPr>
            <w:tcW w:w="11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6588AF8" w14:textId="77777777" w:rsidR="00C12B54" w:rsidRPr="0009721C" w:rsidRDefault="00C12B54" w:rsidP="0009721C">
            <w:pPr>
              <w:spacing w:after="0"/>
              <w:jc w:val="center"/>
              <w:rPr>
                <w:sz w:val="20"/>
                <w:szCs w:val="20"/>
              </w:rPr>
            </w:pPr>
            <w:r w:rsidRPr="0009721C">
              <w:rPr>
                <w:sz w:val="20"/>
                <w:szCs w:val="20"/>
              </w:rPr>
              <w:t>Yes</w:t>
            </w:r>
          </w:p>
        </w:tc>
        <w:tc>
          <w:tcPr>
            <w:tcW w:w="941"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DD818E6" w14:textId="77777777" w:rsidR="00C12B54" w:rsidRPr="0009721C" w:rsidRDefault="00C12B54" w:rsidP="0009721C">
            <w:pPr>
              <w:spacing w:after="0"/>
              <w:jc w:val="center"/>
              <w:rPr>
                <w:sz w:val="20"/>
                <w:szCs w:val="20"/>
              </w:rPr>
            </w:pPr>
            <w:r w:rsidRPr="0009721C">
              <w:rPr>
                <w:sz w:val="20"/>
                <w:szCs w:val="20"/>
              </w:rPr>
              <w:t>41</w:t>
            </w:r>
          </w:p>
        </w:tc>
        <w:tc>
          <w:tcPr>
            <w:tcW w:w="884" w:type="dxa"/>
            <w:tcBorders>
              <w:top w:val="single" w:sz="6" w:space="0" w:color="auto"/>
              <w:left w:val="single" w:sz="6" w:space="0" w:color="auto"/>
              <w:bottom w:val="single" w:sz="6" w:space="0" w:color="auto"/>
              <w:right w:val="double" w:sz="6" w:space="0" w:color="auto"/>
            </w:tcBorders>
            <w:shd w:val="clear" w:color="auto" w:fill="auto"/>
            <w:hideMark/>
          </w:tcPr>
          <w:p w14:paraId="563FE9FF" w14:textId="77777777" w:rsidR="00C12B54" w:rsidRPr="0009721C" w:rsidRDefault="00C12B54" w:rsidP="0009721C">
            <w:pPr>
              <w:spacing w:after="0"/>
              <w:jc w:val="center"/>
              <w:rPr>
                <w:sz w:val="20"/>
                <w:szCs w:val="20"/>
              </w:rPr>
            </w:pPr>
            <w:r w:rsidRPr="0009721C">
              <w:rPr>
                <w:sz w:val="20"/>
                <w:szCs w:val="20"/>
              </w:rPr>
              <w:t>100</w:t>
            </w:r>
          </w:p>
        </w:tc>
        <w:tc>
          <w:tcPr>
            <w:tcW w:w="1040" w:type="dxa"/>
            <w:tcBorders>
              <w:top w:val="single" w:sz="6" w:space="0" w:color="auto"/>
              <w:left w:val="double" w:sz="6" w:space="0" w:color="auto"/>
              <w:bottom w:val="single" w:sz="6" w:space="0" w:color="auto"/>
              <w:right w:val="single" w:sz="6" w:space="0" w:color="auto"/>
            </w:tcBorders>
            <w:shd w:val="clear" w:color="auto" w:fill="auto"/>
            <w:vAlign w:val="bottom"/>
            <w:hideMark/>
          </w:tcPr>
          <w:p w14:paraId="6D00CF8C" w14:textId="77777777" w:rsidR="00C12B54" w:rsidRPr="0009721C" w:rsidRDefault="00C12B54" w:rsidP="0009721C">
            <w:pPr>
              <w:spacing w:after="0"/>
              <w:jc w:val="center"/>
              <w:rPr>
                <w:sz w:val="20"/>
                <w:szCs w:val="20"/>
              </w:rPr>
            </w:pPr>
            <w:r w:rsidRPr="0009721C">
              <w:rPr>
                <w:sz w:val="20"/>
                <w:szCs w:val="20"/>
              </w:rPr>
              <w:t>157</w:t>
            </w:r>
          </w:p>
        </w:tc>
        <w:tc>
          <w:tcPr>
            <w:tcW w:w="905" w:type="dxa"/>
            <w:tcBorders>
              <w:top w:val="single" w:sz="6" w:space="0" w:color="auto"/>
              <w:left w:val="single" w:sz="6" w:space="0" w:color="auto"/>
              <w:bottom w:val="single" w:sz="6" w:space="0" w:color="auto"/>
              <w:right w:val="double" w:sz="6" w:space="0" w:color="auto"/>
            </w:tcBorders>
            <w:shd w:val="clear" w:color="auto" w:fill="auto"/>
            <w:hideMark/>
          </w:tcPr>
          <w:p w14:paraId="53272DFC" w14:textId="77777777" w:rsidR="00C12B54" w:rsidRPr="0009721C" w:rsidRDefault="00C12B54" w:rsidP="0009721C">
            <w:pPr>
              <w:spacing w:after="0"/>
              <w:jc w:val="center"/>
              <w:rPr>
                <w:sz w:val="20"/>
                <w:szCs w:val="20"/>
              </w:rPr>
            </w:pPr>
            <w:r w:rsidRPr="0009721C">
              <w:rPr>
                <w:sz w:val="20"/>
                <w:szCs w:val="20"/>
              </w:rPr>
              <w:t>82.2%</w:t>
            </w:r>
          </w:p>
        </w:tc>
        <w:tc>
          <w:tcPr>
            <w:tcW w:w="1018" w:type="dxa"/>
            <w:tcBorders>
              <w:top w:val="single" w:sz="6" w:space="0" w:color="auto"/>
              <w:left w:val="double" w:sz="6" w:space="0" w:color="auto"/>
              <w:bottom w:val="single" w:sz="6" w:space="0" w:color="auto"/>
              <w:right w:val="single" w:sz="6" w:space="0" w:color="auto"/>
            </w:tcBorders>
            <w:shd w:val="clear" w:color="auto" w:fill="auto"/>
            <w:vAlign w:val="bottom"/>
            <w:hideMark/>
          </w:tcPr>
          <w:p w14:paraId="211C0DC4" w14:textId="77777777" w:rsidR="00C12B54" w:rsidRPr="0009721C" w:rsidRDefault="00C12B54" w:rsidP="0009721C">
            <w:pPr>
              <w:spacing w:after="0"/>
              <w:jc w:val="center"/>
              <w:rPr>
                <w:sz w:val="20"/>
                <w:szCs w:val="20"/>
              </w:rPr>
            </w:pPr>
            <w:r w:rsidRPr="0009721C">
              <w:rPr>
                <w:sz w:val="20"/>
                <w:szCs w:val="20"/>
              </w:rPr>
              <w:t>74</w:t>
            </w:r>
          </w:p>
        </w:tc>
        <w:tc>
          <w:tcPr>
            <w:tcW w:w="1053" w:type="dxa"/>
            <w:tcBorders>
              <w:top w:val="single" w:sz="6" w:space="0" w:color="auto"/>
              <w:left w:val="single" w:sz="6" w:space="0" w:color="auto"/>
              <w:bottom w:val="single" w:sz="6" w:space="0" w:color="auto"/>
              <w:right w:val="double" w:sz="6" w:space="0" w:color="auto"/>
            </w:tcBorders>
            <w:shd w:val="clear" w:color="auto" w:fill="auto"/>
            <w:hideMark/>
          </w:tcPr>
          <w:p w14:paraId="4C48DD49" w14:textId="77777777" w:rsidR="00C12B54" w:rsidRPr="0009721C" w:rsidRDefault="00C12B54" w:rsidP="0009721C">
            <w:pPr>
              <w:spacing w:after="0"/>
              <w:jc w:val="center"/>
              <w:rPr>
                <w:sz w:val="20"/>
                <w:szCs w:val="20"/>
              </w:rPr>
            </w:pPr>
            <w:r w:rsidRPr="0009721C">
              <w:rPr>
                <w:sz w:val="20"/>
                <w:szCs w:val="20"/>
              </w:rPr>
              <w:t>77.1%</w:t>
            </w:r>
          </w:p>
        </w:tc>
        <w:tc>
          <w:tcPr>
            <w:tcW w:w="1113" w:type="dxa"/>
            <w:tcBorders>
              <w:top w:val="single" w:sz="6" w:space="0" w:color="auto"/>
              <w:left w:val="double" w:sz="6" w:space="0" w:color="auto"/>
              <w:bottom w:val="single" w:sz="6" w:space="0" w:color="auto"/>
              <w:right w:val="single" w:sz="6" w:space="0" w:color="auto"/>
            </w:tcBorders>
            <w:shd w:val="clear" w:color="auto" w:fill="auto"/>
            <w:hideMark/>
          </w:tcPr>
          <w:p w14:paraId="225E257E" w14:textId="77777777" w:rsidR="00C12B54" w:rsidRPr="0009721C" w:rsidRDefault="00C12B54" w:rsidP="0009721C">
            <w:pPr>
              <w:spacing w:after="0"/>
              <w:jc w:val="center"/>
              <w:rPr>
                <w:sz w:val="20"/>
                <w:szCs w:val="20"/>
              </w:rPr>
            </w:pPr>
            <w:r w:rsidRPr="0009721C">
              <w:rPr>
                <w:sz w:val="20"/>
                <w:szCs w:val="20"/>
              </w:rPr>
              <w:t>183</w:t>
            </w:r>
          </w:p>
        </w:tc>
        <w:tc>
          <w:tcPr>
            <w:tcW w:w="843" w:type="dxa"/>
            <w:tcBorders>
              <w:top w:val="single" w:sz="6" w:space="0" w:color="auto"/>
              <w:left w:val="single" w:sz="6" w:space="0" w:color="auto"/>
              <w:bottom w:val="single" w:sz="6" w:space="0" w:color="auto"/>
              <w:right w:val="single" w:sz="6" w:space="0" w:color="auto"/>
            </w:tcBorders>
            <w:shd w:val="clear" w:color="auto" w:fill="auto"/>
            <w:hideMark/>
          </w:tcPr>
          <w:p w14:paraId="10D122CD" w14:textId="77777777" w:rsidR="00C12B54" w:rsidRPr="0009721C" w:rsidRDefault="00C12B54" w:rsidP="0009721C">
            <w:pPr>
              <w:spacing w:after="0"/>
              <w:jc w:val="center"/>
              <w:rPr>
                <w:sz w:val="20"/>
                <w:szCs w:val="20"/>
              </w:rPr>
            </w:pPr>
            <w:r w:rsidRPr="0009721C">
              <w:rPr>
                <w:sz w:val="20"/>
                <w:szCs w:val="20"/>
              </w:rPr>
              <w:t>41.6</w:t>
            </w:r>
          </w:p>
        </w:tc>
      </w:tr>
      <w:tr w:rsidR="00C12B54" w:rsidRPr="0029452B" w14:paraId="6F04C07A" w14:textId="77777777" w:rsidTr="00A55EAB">
        <w:trPr>
          <w:trHeight w:val="285"/>
          <w:jc w:val="center"/>
        </w:trPr>
        <w:tc>
          <w:tcPr>
            <w:tcW w:w="11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41B4D77" w14:textId="77777777" w:rsidR="00C12B54" w:rsidRPr="0009721C" w:rsidRDefault="00C12B54" w:rsidP="0009721C">
            <w:pPr>
              <w:spacing w:after="0"/>
              <w:jc w:val="center"/>
              <w:rPr>
                <w:sz w:val="20"/>
                <w:szCs w:val="20"/>
              </w:rPr>
            </w:pPr>
            <w:r w:rsidRPr="0009721C">
              <w:rPr>
                <w:sz w:val="20"/>
                <w:szCs w:val="20"/>
              </w:rPr>
              <w:t>No</w:t>
            </w:r>
          </w:p>
        </w:tc>
        <w:tc>
          <w:tcPr>
            <w:tcW w:w="941"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0677B81C" w14:textId="77777777" w:rsidR="00C12B54" w:rsidRPr="0009721C" w:rsidRDefault="00C12B54" w:rsidP="0009721C">
            <w:pPr>
              <w:spacing w:after="0"/>
              <w:jc w:val="center"/>
              <w:rPr>
                <w:sz w:val="20"/>
                <w:szCs w:val="20"/>
              </w:rPr>
            </w:pPr>
            <w:r w:rsidRPr="0009721C">
              <w:rPr>
                <w:sz w:val="20"/>
                <w:szCs w:val="20"/>
              </w:rPr>
              <w:t>0</w:t>
            </w:r>
          </w:p>
        </w:tc>
        <w:tc>
          <w:tcPr>
            <w:tcW w:w="884" w:type="dxa"/>
            <w:tcBorders>
              <w:top w:val="single" w:sz="6" w:space="0" w:color="auto"/>
              <w:left w:val="single" w:sz="6" w:space="0" w:color="auto"/>
              <w:bottom w:val="single" w:sz="6" w:space="0" w:color="auto"/>
              <w:right w:val="double" w:sz="6" w:space="0" w:color="auto"/>
            </w:tcBorders>
            <w:shd w:val="clear" w:color="auto" w:fill="auto"/>
            <w:hideMark/>
          </w:tcPr>
          <w:p w14:paraId="39DEB089" w14:textId="77777777" w:rsidR="00C12B54" w:rsidRPr="0009721C" w:rsidRDefault="00C12B54" w:rsidP="0009721C">
            <w:pPr>
              <w:spacing w:after="0"/>
              <w:jc w:val="center"/>
              <w:rPr>
                <w:sz w:val="20"/>
                <w:szCs w:val="20"/>
              </w:rPr>
            </w:pPr>
            <w:r w:rsidRPr="0009721C">
              <w:rPr>
                <w:sz w:val="20"/>
                <w:szCs w:val="20"/>
              </w:rPr>
              <w:t>0</w:t>
            </w:r>
          </w:p>
        </w:tc>
        <w:tc>
          <w:tcPr>
            <w:tcW w:w="1040" w:type="dxa"/>
            <w:tcBorders>
              <w:top w:val="single" w:sz="6" w:space="0" w:color="auto"/>
              <w:left w:val="double" w:sz="6" w:space="0" w:color="auto"/>
              <w:bottom w:val="single" w:sz="6" w:space="0" w:color="auto"/>
              <w:right w:val="single" w:sz="6" w:space="0" w:color="auto"/>
            </w:tcBorders>
            <w:shd w:val="clear" w:color="auto" w:fill="auto"/>
            <w:vAlign w:val="bottom"/>
            <w:hideMark/>
          </w:tcPr>
          <w:p w14:paraId="2F27519C" w14:textId="77777777" w:rsidR="00C12B54" w:rsidRPr="0009721C" w:rsidRDefault="00C12B54" w:rsidP="0009721C">
            <w:pPr>
              <w:spacing w:after="0"/>
              <w:jc w:val="center"/>
              <w:rPr>
                <w:sz w:val="20"/>
                <w:szCs w:val="20"/>
              </w:rPr>
            </w:pPr>
            <w:r w:rsidRPr="0009721C">
              <w:rPr>
                <w:sz w:val="20"/>
                <w:szCs w:val="20"/>
              </w:rPr>
              <w:t>34</w:t>
            </w:r>
          </w:p>
        </w:tc>
        <w:tc>
          <w:tcPr>
            <w:tcW w:w="905" w:type="dxa"/>
            <w:tcBorders>
              <w:top w:val="single" w:sz="6" w:space="0" w:color="auto"/>
              <w:left w:val="single" w:sz="6" w:space="0" w:color="auto"/>
              <w:bottom w:val="single" w:sz="6" w:space="0" w:color="auto"/>
              <w:right w:val="double" w:sz="6" w:space="0" w:color="auto"/>
            </w:tcBorders>
            <w:shd w:val="clear" w:color="auto" w:fill="auto"/>
            <w:hideMark/>
          </w:tcPr>
          <w:p w14:paraId="12729F59" w14:textId="77777777" w:rsidR="00C12B54" w:rsidRPr="0009721C" w:rsidRDefault="00C12B54" w:rsidP="0009721C">
            <w:pPr>
              <w:spacing w:after="0"/>
              <w:jc w:val="center"/>
              <w:rPr>
                <w:sz w:val="20"/>
                <w:szCs w:val="20"/>
              </w:rPr>
            </w:pPr>
            <w:r w:rsidRPr="0009721C">
              <w:rPr>
                <w:sz w:val="20"/>
                <w:szCs w:val="20"/>
              </w:rPr>
              <w:t>17.8%</w:t>
            </w:r>
          </w:p>
        </w:tc>
        <w:tc>
          <w:tcPr>
            <w:tcW w:w="1018" w:type="dxa"/>
            <w:tcBorders>
              <w:top w:val="single" w:sz="6" w:space="0" w:color="auto"/>
              <w:left w:val="double" w:sz="6" w:space="0" w:color="auto"/>
              <w:bottom w:val="single" w:sz="6" w:space="0" w:color="auto"/>
              <w:right w:val="single" w:sz="6" w:space="0" w:color="auto"/>
            </w:tcBorders>
            <w:shd w:val="clear" w:color="auto" w:fill="auto"/>
            <w:vAlign w:val="bottom"/>
            <w:hideMark/>
          </w:tcPr>
          <w:p w14:paraId="5257CC5B" w14:textId="77777777" w:rsidR="00C12B54" w:rsidRPr="0009721C" w:rsidRDefault="00C12B54" w:rsidP="0009721C">
            <w:pPr>
              <w:spacing w:after="0"/>
              <w:jc w:val="center"/>
              <w:rPr>
                <w:sz w:val="20"/>
                <w:szCs w:val="20"/>
              </w:rPr>
            </w:pPr>
            <w:r w:rsidRPr="0009721C">
              <w:rPr>
                <w:sz w:val="20"/>
                <w:szCs w:val="20"/>
              </w:rPr>
              <w:t>22</w:t>
            </w:r>
          </w:p>
        </w:tc>
        <w:tc>
          <w:tcPr>
            <w:tcW w:w="1053" w:type="dxa"/>
            <w:tcBorders>
              <w:top w:val="single" w:sz="6" w:space="0" w:color="auto"/>
              <w:left w:val="single" w:sz="6" w:space="0" w:color="auto"/>
              <w:bottom w:val="single" w:sz="6" w:space="0" w:color="auto"/>
              <w:right w:val="double" w:sz="6" w:space="0" w:color="auto"/>
            </w:tcBorders>
            <w:shd w:val="clear" w:color="auto" w:fill="auto"/>
            <w:hideMark/>
          </w:tcPr>
          <w:p w14:paraId="0D47B3A7" w14:textId="77777777" w:rsidR="00C12B54" w:rsidRPr="0009721C" w:rsidRDefault="00C12B54" w:rsidP="0009721C">
            <w:pPr>
              <w:spacing w:after="0"/>
              <w:jc w:val="center"/>
              <w:rPr>
                <w:sz w:val="20"/>
                <w:szCs w:val="20"/>
              </w:rPr>
            </w:pPr>
            <w:r w:rsidRPr="0009721C">
              <w:rPr>
                <w:sz w:val="20"/>
                <w:szCs w:val="20"/>
              </w:rPr>
              <w:t>22.9%</w:t>
            </w:r>
          </w:p>
        </w:tc>
        <w:tc>
          <w:tcPr>
            <w:tcW w:w="1113" w:type="dxa"/>
            <w:tcBorders>
              <w:top w:val="single" w:sz="6" w:space="0" w:color="auto"/>
              <w:left w:val="double" w:sz="6" w:space="0" w:color="auto"/>
              <w:bottom w:val="single" w:sz="6" w:space="0" w:color="auto"/>
              <w:right w:val="single" w:sz="6" w:space="0" w:color="auto"/>
            </w:tcBorders>
            <w:shd w:val="clear" w:color="auto" w:fill="auto"/>
            <w:hideMark/>
          </w:tcPr>
          <w:p w14:paraId="12C3B30F" w14:textId="77777777" w:rsidR="00C12B54" w:rsidRPr="0009721C" w:rsidRDefault="00C12B54" w:rsidP="0009721C">
            <w:pPr>
              <w:spacing w:after="0"/>
              <w:jc w:val="center"/>
              <w:rPr>
                <w:sz w:val="20"/>
                <w:szCs w:val="20"/>
              </w:rPr>
            </w:pPr>
            <w:r w:rsidRPr="0009721C">
              <w:rPr>
                <w:sz w:val="20"/>
                <w:szCs w:val="20"/>
              </w:rPr>
              <w:t>257</w:t>
            </w:r>
          </w:p>
        </w:tc>
        <w:tc>
          <w:tcPr>
            <w:tcW w:w="843" w:type="dxa"/>
            <w:tcBorders>
              <w:top w:val="single" w:sz="6" w:space="0" w:color="auto"/>
              <w:left w:val="single" w:sz="6" w:space="0" w:color="auto"/>
              <w:bottom w:val="single" w:sz="6" w:space="0" w:color="auto"/>
              <w:right w:val="single" w:sz="6" w:space="0" w:color="auto"/>
            </w:tcBorders>
            <w:shd w:val="clear" w:color="auto" w:fill="auto"/>
            <w:hideMark/>
          </w:tcPr>
          <w:p w14:paraId="78B9126C" w14:textId="77777777" w:rsidR="00C12B54" w:rsidRPr="0009721C" w:rsidRDefault="00C12B54" w:rsidP="0009721C">
            <w:pPr>
              <w:spacing w:after="0"/>
              <w:jc w:val="center"/>
              <w:rPr>
                <w:sz w:val="20"/>
                <w:szCs w:val="20"/>
              </w:rPr>
            </w:pPr>
            <w:r w:rsidRPr="0009721C">
              <w:rPr>
                <w:sz w:val="20"/>
                <w:szCs w:val="20"/>
              </w:rPr>
              <w:t>58.4</w:t>
            </w:r>
          </w:p>
        </w:tc>
      </w:tr>
    </w:tbl>
    <w:p w14:paraId="24590348" w14:textId="3AC2E1DF" w:rsidR="00C12B54" w:rsidRPr="0009721C" w:rsidRDefault="00C12B54" w:rsidP="00C12B54">
      <w:pPr>
        <w:jc w:val="center"/>
        <w:rPr>
          <w:b/>
          <w:sz w:val="20"/>
          <w:szCs w:val="20"/>
        </w:rPr>
      </w:pPr>
      <w:r w:rsidRPr="0009721C">
        <w:rPr>
          <w:b/>
          <w:bCs/>
          <w:sz w:val="20"/>
          <w:szCs w:val="20"/>
        </w:rPr>
        <w:t xml:space="preserve">Table </w:t>
      </w:r>
      <w:r w:rsidR="00614787" w:rsidRPr="0009721C">
        <w:rPr>
          <w:b/>
          <w:bCs/>
          <w:sz w:val="20"/>
          <w:szCs w:val="20"/>
        </w:rPr>
        <w:t>6</w:t>
      </w:r>
      <w:r w:rsidRPr="0009721C">
        <w:rPr>
          <w:b/>
          <w:bCs/>
          <w:sz w:val="20"/>
          <w:szCs w:val="20"/>
        </w:rPr>
        <w:t xml:space="preserve">: </w:t>
      </w:r>
      <w:r w:rsidRPr="0009721C">
        <w:rPr>
          <w:sz w:val="20"/>
          <w:szCs w:val="20"/>
        </w:rPr>
        <w:t>NDIS participant status by number of guardianship orders</w:t>
      </w:r>
    </w:p>
    <w:p w14:paraId="3E64E3DC" w14:textId="726983A0" w:rsidR="00FD4E5E" w:rsidRDefault="00FD4E5E" w:rsidP="00FD4E5E">
      <w:r>
        <w:t>The likelihood of an OPA guardianship client being a NDIS participant is positively correlated with the number of orders the person has been subject to – the more orders they have had, the more likely they are to be a NDIS participant.</w:t>
      </w:r>
    </w:p>
    <w:p w14:paraId="05DF977C" w14:textId="77777777" w:rsidR="00C12B54" w:rsidRDefault="00C12B54" w:rsidP="00C12B54">
      <w:r>
        <w:t>Some of this correlation can be explained by the relationship between age, multiple reappointments and NDIS eligibility.</w:t>
      </w:r>
    </w:p>
    <w:p w14:paraId="2FC4D708" w14:textId="69F285C6" w:rsidR="006D42A2" w:rsidRDefault="006D42A2" w:rsidP="006D42A2">
      <w:r>
        <w:t>Of the 440 people with a single order, only 41 per cent were NDIS participants. However, only 21 people (less than 5 per cent) would have met the age requirement to be a NDIS participant. The remaining 54 per cent of people on a single order were aged over 65 years.</w:t>
      </w:r>
    </w:p>
    <w:p w14:paraId="6DC3179B" w14:textId="4488EDC3" w:rsidR="00C12B54" w:rsidRDefault="00C12B54" w:rsidP="00C12B54">
      <w:r>
        <w:t>Of the 2</w:t>
      </w:r>
      <w:r w:rsidR="0009721C">
        <w:t>3</w:t>
      </w:r>
      <w:r>
        <w:t>2 people with 3 or more orders, all but 38 people were NDIS participants. Of those who were not NDIS participants, only 7 people (3 per cent) met the age requirement for eligibility.</w:t>
      </w:r>
    </w:p>
    <w:p w14:paraId="36839A8C" w14:textId="6BBA7DF0" w:rsidR="00C12B54" w:rsidRDefault="00C12B54" w:rsidP="00C12B54">
      <w:r>
        <w:t xml:space="preserve">The relationship between NDIS participant status and multiple orders may </w:t>
      </w:r>
      <w:r w:rsidR="0066345C">
        <w:t xml:space="preserve">or may </w:t>
      </w:r>
      <w:r>
        <w:t xml:space="preserve">not be causal. </w:t>
      </w:r>
      <w:r w:rsidR="00452204">
        <w:t xml:space="preserve">While </w:t>
      </w:r>
      <w:proofErr w:type="gramStart"/>
      <w:r w:rsidR="00452204">
        <w:t>i</w:t>
      </w:r>
      <w:r w:rsidRPr="007C5F1D">
        <w:t xml:space="preserve">t is </w:t>
      </w:r>
      <w:r w:rsidR="00995EAE">
        <w:t>clear</w:t>
      </w:r>
      <w:r w:rsidRPr="007C5F1D">
        <w:t xml:space="preserve"> that </w:t>
      </w:r>
      <w:r w:rsidR="00E671CD">
        <w:t>the</w:t>
      </w:r>
      <w:proofErr w:type="gramEnd"/>
      <w:r w:rsidR="00E671CD">
        <w:t xml:space="preserve"> overwhelming majority of people subject to multiple guardianship orders are also NDIS participants</w:t>
      </w:r>
      <w:r w:rsidR="00452204">
        <w:t xml:space="preserve">, </w:t>
      </w:r>
      <w:r w:rsidR="008E6955">
        <w:t>we know that</w:t>
      </w:r>
      <w:r w:rsidR="0081261B">
        <w:t xml:space="preserve"> </w:t>
      </w:r>
      <w:r w:rsidRPr="007C5F1D">
        <w:t xml:space="preserve">at least 95 per cent of </w:t>
      </w:r>
      <w:r w:rsidR="00D71245">
        <w:t>OPA guardianship clients</w:t>
      </w:r>
      <w:r w:rsidR="00D71245" w:rsidRPr="007C5F1D">
        <w:t xml:space="preserve"> </w:t>
      </w:r>
      <w:r w:rsidRPr="007C5F1D">
        <w:t xml:space="preserve">under 65 years </w:t>
      </w:r>
      <w:r w:rsidR="00D052D2">
        <w:t>are NDIS participants</w:t>
      </w:r>
      <w:r w:rsidRPr="007C5F1D">
        <w:t>.</w:t>
      </w:r>
      <w:r w:rsidR="00F71F24">
        <w:t xml:space="preserve"> </w:t>
      </w:r>
      <w:r w:rsidR="00B3292C">
        <w:t>Given the legis</w:t>
      </w:r>
      <w:r w:rsidR="004C6FD2">
        <w:t>l</w:t>
      </w:r>
      <w:r w:rsidR="00B3292C">
        <w:t>ative criteria for guardianship</w:t>
      </w:r>
      <w:r w:rsidR="001C2D68">
        <w:t xml:space="preserve"> requires a significant decision</w:t>
      </w:r>
      <w:r w:rsidR="00D052D2">
        <w:t>-</w:t>
      </w:r>
      <w:r w:rsidR="001C2D68">
        <w:t>making disability</w:t>
      </w:r>
      <w:r w:rsidR="00404ACF">
        <w:t xml:space="preserve">, </w:t>
      </w:r>
      <w:r w:rsidR="006034AA">
        <w:t xml:space="preserve">it </w:t>
      </w:r>
      <w:r w:rsidR="005077F5">
        <w:t>is logical</w:t>
      </w:r>
      <w:r w:rsidR="006034AA">
        <w:t xml:space="preserve"> that </w:t>
      </w:r>
      <w:r w:rsidR="00844B62">
        <w:t xml:space="preserve">people under 65 </w:t>
      </w:r>
      <w:r w:rsidR="008A031E">
        <w:t xml:space="preserve">who become </w:t>
      </w:r>
      <w:r w:rsidR="00844B62">
        <w:t xml:space="preserve">subject to OPA guardianship </w:t>
      </w:r>
      <w:r w:rsidR="00D46C9C">
        <w:t xml:space="preserve">are </w:t>
      </w:r>
      <w:r w:rsidR="008A031E">
        <w:t>also likely</w:t>
      </w:r>
      <w:r w:rsidR="00D46C9C">
        <w:t xml:space="preserve"> to</w:t>
      </w:r>
      <w:r w:rsidR="008A031E">
        <w:t xml:space="preserve"> be eligible for support under the NDIS</w:t>
      </w:r>
      <w:r w:rsidR="00AC32BB">
        <w:t>.</w:t>
      </w:r>
    </w:p>
    <w:p w14:paraId="71CCACEC" w14:textId="77777777" w:rsidR="00C12B54" w:rsidRDefault="00C12B54" w:rsidP="008A6FB1">
      <w:pPr>
        <w:pStyle w:val="Heading2"/>
      </w:pPr>
      <w:bookmarkStart w:id="18" w:name="_Toc200963481"/>
      <w:r>
        <w:lastRenderedPageBreak/>
        <w:t>Authority type</w:t>
      </w:r>
      <w:bookmarkEnd w:id="18"/>
    </w:p>
    <w:p w14:paraId="5412BF30" w14:textId="4F75FF56" w:rsidR="00C12B54" w:rsidRDefault="00F23FDC" w:rsidP="0062687A">
      <w:pPr>
        <w:spacing w:before="120" w:after="120" w:line="252" w:lineRule="auto"/>
        <w:rPr>
          <w:rStyle w:val="normaltextrun"/>
          <w:rFonts w:eastAsiaTheme="majorEastAsia" w:cstheme="majorBidi"/>
          <w:color w:val="0F4761" w:themeColor="accent1" w:themeShade="BF"/>
          <w:sz w:val="28"/>
          <w:szCs w:val="28"/>
        </w:rPr>
      </w:pPr>
      <w:r>
        <w:rPr>
          <w:rStyle w:val="normaltextrun"/>
        </w:rPr>
        <w:t xml:space="preserve">In </w:t>
      </w:r>
      <w:r w:rsidR="00C12B54">
        <w:rPr>
          <w:rStyle w:val="normaltextrun"/>
        </w:rPr>
        <w:t xml:space="preserve">making a guardianship order, VCAT specifies the personal matters for which a guardian has the power and duty (‘authority’) to make decisions. </w:t>
      </w:r>
    </w:p>
    <w:p w14:paraId="650DC931" w14:textId="4BA7F6B3" w:rsidR="00BF2ED2" w:rsidRDefault="00C12B54" w:rsidP="52D60A89">
      <w:pPr>
        <w:spacing w:before="100" w:beforeAutospacing="1" w:after="120" w:line="252" w:lineRule="auto"/>
        <w:rPr>
          <w:rStyle w:val="normaltextrun"/>
        </w:rPr>
      </w:pPr>
      <w:r>
        <w:rPr>
          <w:rStyle w:val="normaltextrun"/>
        </w:rPr>
        <w:t xml:space="preserve">The </w:t>
      </w:r>
      <w:r w:rsidR="009951E4">
        <w:rPr>
          <w:rStyle w:val="normaltextrun"/>
        </w:rPr>
        <w:t xml:space="preserve">majority of </w:t>
      </w:r>
      <w:r w:rsidR="00880082">
        <w:rPr>
          <w:rStyle w:val="normaltextrun"/>
        </w:rPr>
        <w:t xml:space="preserve">OPA </w:t>
      </w:r>
      <w:r w:rsidR="00804104">
        <w:rPr>
          <w:rStyle w:val="normaltextrun"/>
        </w:rPr>
        <w:t>guardianship</w:t>
      </w:r>
      <w:r w:rsidR="00880082">
        <w:rPr>
          <w:rStyle w:val="normaltextrun"/>
        </w:rPr>
        <w:t xml:space="preserve"> </w:t>
      </w:r>
      <w:r w:rsidR="009951E4">
        <w:rPr>
          <w:rStyle w:val="normaltextrun"/>
        </w:rPr>
        <w:t xml:space="preserve">orders </w:t>
      </w:r>
      <w:r w:rsidR="002603AE">
        <w:rPr>
          <w:rStyle w:val="normaltextrun"/>
        </w:rPr>
        <w:t xml:space="preserve">are made </w:t>
      </w:r>
      <w:r w:rsidR="00196DE1">
        <w:rPr>
          <w:rStyle w:val="normaltextrun"/>
        </w:rPr>
        <w:t xml:space="preserve">in relation </w:t>
      </w:r>
      <w:r w:rsidR="002603AE">
        <w:rPr>
          <w:rStyle w:val="normaltextrun"/>
        </w:rPr>
        <w:t xml:space="preserve">to </w:t>
      </w:r>
      <w:r w:rsidR="00E06F06">
        <w:rPr>
          <w:rStyle w:val="normaltextrun"/>
        </w:rPr>
        <w:t xml:space="preserve">access to </w:t>
      </w:r>
      <w:r>
        <w:rPr>
          <w:rStyle w:val="normaltextrun"/>
        </w:rPr>
        <w:t>service</w:t>
      </w:r>
      <w:r w:rsidR="00E06F06">
        <w:rPr>
          <w:rStyle w:val="normaltextrun"/>
        </w:rPr>
        <w:t>s</w:t>
      </w:r>
      <w:r>
        <w:rPr>
          <w:rStyle w:val="normaltextrun"/>
        </w:rPr>
        <w:t xml:space="preserve"> and accommodation authorities</w:t>
      </w:r>
      <w:r w:rsidR="00196DE1">
        <w:rPr>
          <w:rStyle w:val="normaltextrun"/>
        </w:rPr>
        <w:t>. Th</w:t>
      </w:r>
      <w:r w:rsidR="006874A9">
        <w:rPr>
          <w:rStyle w:val="normaltextrun"/>
        </w:rPr>
        <w:t>ese authority types empower</w:t>
      </w:r>
      <w:r>
        <w:rPr>
          <w:rStyle w:val="normaltextrun"/>
        </w:rPr>
        <w:t xml:space="preserve"> a guardian</w:t>
      </w:r>
      <w:r w:rsidR="00196DE1">
        <w:rPr>
          <w:rStyle w:val="normaltextrun"/>
        </w:rPr>
        <w:t xml:space="preserve"> </w:t>
      </w:r>
      <w:r>
        <w:rPr>
          <w:rStyle w:val="normaltextrun"/>
        </w:rPr>
        <w:t>to make decisions relating to</w:t>
      </w:r>
      <w:r w:rsidR="00FB6C32">
        <w:rPr>
          <w:rStyle w:val="normaltextrun"/>
        </w:rPr>
        <w:t xml:space="preserve"> </w:t>
      </w:r>
      <w:r w:rsidR="004E02C8">
        <w:rPr>
          <w:rStyle w:val="normaltextrun"/>
        </w:rPr>
        <w:t xml:space="preserve">the </w:t>
      </w:r>
      <w:r w:rsidR="005D2361">
        <w:rPr>
          <w:rStyle w:val="normaltextrun"/>
        </w:rPr>
        <w:t xml:space="preserve">support </w:t>
      </w:r>
      <w:r w:rsidR="00030591">
        <w:rPr>
          <w:rStyle w:val="normaltextrun"/>
        </w:rPr>
        <w:t xml:space="preserve">services </w:t>
      </w:r>
      <w:r w:rsidR="00F56130">
        <w:rPr>
          <w:rStyle w:val="normaltextrun"/>
        </w:rPr>
        <w:t>the person receives</w:t>
      </w:r>
      <w:r w:rsidR="004E02C8">
        <w:rPr>
          <w:rStyle w:val="normaltextrun"/>
        </w:rPr>
        <w:t>,</w:t>
      </w:r>
      <w:r w:rsidR="00F56130">
        <w:rPr>
          <w:rStyle w:val="normaltextrun"/>
        </w:rPr>
        <w:t xml:space="preserve"> </w:t>
      </w:r>
      <w:r w:rsidR="00030591">
        <w:rPr>
          <w:rStyle w:val="normaltextrun"/>
        </w:rPr>
        <w:t xml:space="preserve">or </w:t>
      </w:r>
      <w:r w:rsidR="0085336D">
        <w:rPr>
          <w:rStyle w:val="normaltextrun"/>
        </w:rPr>
        <w:t>where they will live</w:t>
      </w:r>
      <w:r w:rsidR="004E02C8">
        <w:rPr>
          <w:rStyle w:val="normaltextrun"/>
        </w:rPr>
        <w:t xml:space="preserve">. </w:t>
      </w:r>
      <w:r w:rsidRPr="52D60A89">
        <w:rPr>
          <w:rStyle w:val="normaltextrun"/>
        </w:rPr>
        <w:t xml:space="preserve">Graph </w:t>
      </w:r>
      <w:r w:rsidR="00464853">
        <w:rPr>
          <w:rStyle w:val="normaltextrun"/>
        </w:rPr>
        <w:t xml:space="preserve">6 </w:t>
      </w:r>
      <w:r w:rsidRPr="52D60A89">
        <w:rPr>
          <w:rStyle w:val="normaltextrun"/>
        </w:rPr>
        <w:t xml:space="preserve">shows that as </w:t>
      </w:r>
      <w:r w:rsidR="001B4648">
        <w:rPr>
          <w:rStyle w:val="normaltextrun"/>
        </w:rPr>
        <w:t xml:space="preserve">the </w:t>
      </w:r>
      <w:r w:rsidRPr="52D60A89">
        <w:rPr>
          <w:rStyle w:val="normaltextrun"/>
        </w:rPr>
        <w:t xml:space="preserve">time spent subject to guardianship increases, so does the proportion of people whose orders include authority for the guardian to make access to service decisions. </w:t>
      </w:r>
    </w:p>
    <w:p w14:paraId="57B9D50D" w14:textId="77777777" w:rsidR="00C12B54" w:rsidRPr="00B7316B" w:rsidRDefault="00C12B54" w:rsidP="00C12B54">
      <w:pPr>
        <w:pStyle w:val="ListParagraph"/>
        <w:spacing w:before="100" w:beforeAutospacing="1" w:after="120" w:line="252" w:lineRule="auto"/>
        <w:ind w:left="142"/>
        <w:jc w:val="center"/>
        <w:rPr>
          <w:rStyle w:val="normaltextrun"/>
          <w:b/>
        </w:rPr>
      </w:pPr>
      <w:r w:rsidRPr="00B7316B">
        <w:rPr>
          <w:noProof/>
        </w:rPr>
        <w:drawing>
          <wp:inline distT="0" distB="0" distL="0" distR="0" wp14:anchorId="7278848A" wp14:editId="1481880A">
            <wp:extent cx="4025900" cy="2501900"/>
            <wp:effectExtent l="0" t="0" r="0" b="0"/>
            <wp:docPr id="890733115" name="Chart 1">
              <a:extLst xmlns:a="http://schemas.openxmlformats.org/drawingml/2006/main">
                <a:ext uri="{FF2B5EF4-FFF2-40B4-BE49-F238E27FC236}">
                  <a16:creationId xmlns:a16="http://schemas.microsoft.com/office/drawing/2014/main" id="{31DD89FC-970E-59BE-90C3-1CB6FBC9446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F2F2D1E" w14:textId="5BE58E4D" w:rsidR="00C12B54" w:rsidRPr="008D0B94" w:rsidRDefault="00C12B54" w:rsidP="008D0B94">
      <w:pPr>
        <w:pStyle w:val="elementtoproof"/>
        <w:spacing w:before="0" w:beforeAutospacing="0" w:after="120" w:afterAutospacing="0" w:line="252" w:lineRule="auto"/>
        <w:ind w:left="720"/>
        <w:jc w:val="center"/>
        <w:rPr>
          <w:rStyle w:val="normaltextrun"/>
          <w:rFonts w:ascii="Arial" w:eastAsiaTheme="minorHAnsi" w:hAnsi="Arial" w:cs="Arial"/>
          <w:color w:val="000000"/>
          <w:kern w:val="2"/>
          <w:sz w:val="20"/>
          <w:szCs w:val="20"/>
          <w:lang w:eastAsia="en-US"/>
        </w:rPr>
      </w:pPr>
      <w:r w:rsidRPr="008D0B94">
        <w:rPr>
          <w:rFonts w:ascii="Arial" w:hAnsi="Arial" w:cs="Arial"/>
          <w:b/>
          <w:bCs/>
          <w:color w:val="000000" w:themeColor="text1"/>
          <w:sz w:val="20"/>
          <w:szCs w:val="20"/>
        </w:rPr>
        <w:t xml:space="preserve">Graph </w:t>
      </w:r>
      <w:r w:rsidR="00123A93">
        <w:rPr>
          <w:rFonts w:ascii="Arial" w:hAnsi="Arial" w:cs="Arial"/>
          <w:b/>
          <w:bCs/>
          <w:color w:val="000000" w:themeColor="text1"/>
          <w:sz w:val="20"/>
          <w:szCs w:val="20"/>
        </w:rPr>
        <w:t>6</w:t>
      </w:r>
      <w:r w:rsidR="00F16FBE">
        <w:rPr>
          <w:rFonts w:ascii="Arial" w:hAnsi="Arial" w:cs="Arial"/>
          <w:b/>
          <w:bCs/>
          <w:color w:val="000000" w:themeColor="text1"/>
          <w:sz w:val="20"/>
          <w:szCs w:val="20"/>
        </w:rPr>
        <w:t>:</w:t>
      </w:r>
      <w:r w:rsidRPr="008D0B94">
        <w:rPr>
          <w:rFonts w:ascii="Arial" w:hAnsi="Arial" w:cs="Arial"/>
          <w:color w:val="000000" w:themeColor="text1"/>
          <w:sz w:val="20"/>
          <w:szCs w:val="20"/>
        </w:rPr>
        <w:t xml:space="preserve"> Proportion of orders with each type of authority, by reappointment cohort.</w:t>
      </w:r>
    </w:p>
    <w:p w14:paraId="68F8DE16" w14:textId="221F3A15" w:rsidR="00DE4B1F" w:rsidRDefault="00C12B54" w:rsidP="00C12B54">
      <w:pPr>
        <w:rPr>
          <w:rStyle w:val="normaltextrun"/>
        </w:rPr>
      </w:pPr>
      <w:r>
        <w:t xml:space="preserve">Graph </w:t>
      </w:r>
      <w:r w:rsidR="00123A93">
        <w:t>6</w:t>
      </w:r>
      <w:r>
        <w:t xml:space="preserve"> also illustrates that as the number of reappointments increase, there is a slight increase in the likelihood of orders including access to persons and section 40 authorities.</w:t>
      </w:r>
      <w:r>
        <w:rPr>
          <w:rStyle w:val="normaltextrun"/>
        </w:rPr>
        <w:t xml:space="preserve"> </w:t>
      </w:r>
      <w:r w:rsidR="0088200A">
        <w:rPr>
          <w:rStyle w:val="normaltextrun"/>
        </w:rPr>
        <w:t>Authority under s</w:t>
      </w:r>
      <w:r w:rsidR="009379AD">
        <w:rPr>
          <w:rStyle w:val="normaltextrun"/>
        </w:rPr>
        <w:t xml:space="preserve">ection 40 </w:t>
      </w:r>
      <w:r w:rsidR="005D1A77">
        <w:rPr>
          <w:rStyle w:val="normaltextrun"/>
        </w:rPr>
        <w:t xml:space="preserve">of the Act </w:t>
      </w:r>
      <w:r w:rsidR="003921B9">
        <w:rPr>
          <w:rStyle w:val="normaltextrun"/>
        </w:rPr>
        <w:t>give</w:t>
      </w:r>
      <w:r w:rsidR="0088200A">
        <w:rPr>
          <w:rStyle w:val="normaltextrun"/>
        </w:rPr>
        <w:t>s</w:t>
      </w:r>
      <w:r w:rsidR="003921B9">
        <w:rPr>
          <w:rStyle w:val="normaltextrun"/>
        </w:rPr>
        <w:t xml:space="preserve"> the appointed guardian ‘the power to bring</w:t>
      </w:r>
      <w:r w:rsidR="00CA17F4">
        <w:rPr>
          <w:rStyle w:val="normaltextrun"/>
        </w:rPr>
        <w:t xml:space="preserve"> and defend an action or other legal proceedin</w:t>
      </w:r>
      <w:r w:rsidR="009774C3">
        <w:rPr>
          <w:rStyle w:val="normaltextrun"/>
        </w:rPr>
        <w:t xml:space="preserve">g in the name, and on behalf, of </w:t>
      </w:r>
      <w:r w:rsidR="00A9501F">
        <w:rPr>
          <w:rStyle w:val="normaltextrun"/>
        </w:rPr>
        <w:t>the represented person…’</w:t>
      </w:r>
      <w:r w:rsidR="00A9501F">
        <w:rPr>
          <w:rStyle w:val="FootnoteReference"/>
        </w:rPr>
        <w:footnoteReference w:id="16"/>
      </w:r>
      <w:r w:rsidR="00932612">
        <w:rPr>
          <w:rStyle w:val="normaltextrun"/>
        </w:rPr>
        <w:t xml:space="preserve"> </w:t>
      </w:r>
      <w:r w:rsidR="00672DFB">
        <w:rPr>
          <w:rStyle w:val="normaltextrun"/>
        </w:rPr>
        <w:t>S</w:t>
      </w:r>
      <w:r w:rsidR="00871847">
        <w:rPr>
          <w:rStyle w:val="normaltextrun"/>
        </w:rPr>
        <w:t>uch orders</w:t>
      </w:r>
      <w:r w:rsidR="00D86C24">
        <w:rPr>
          <w:rStyle w:val="normaltextrun"/>
        </w:rPr>
        <w:t xml:space="preserve"> may be </w:t>
      </w:r>
      <w:r w:rsidR="00871847">
        <w:rPr>
          <w:rStyle w:val="normaltextrun"/>
        </w:rPr>
        <w:t xml:space="preserve">sought to seek action in the </w:t>
      </w:r>
      <w:r w:rsidR="0085771D">
        <w:rPr>
          <w:rStyle w:val="normaltextrun"/>
        </w:rPr>
        <w:t>Administrative</w:t>
      </w:r>
      <w:r w:rsidR="00871847">
        <w:rPr>
          <w:rStyle w:val="normaltextrun"/>
        </w:rPr>
        <w:t xml:space="preserve"> Review Tribunal</w:t>
      </w:r>
      <w:r w:rsidR="0085771D">
        <w:rPr>
          <w:rStyle w:val="normaltextrun"/>
        </w:rPr>
        <w:t>.</w:t>
      </w:r>
      <w:r w:rsidR="00871847">
        <w:rPr>
          <w:rStyle w:val="normaltextrun"/>
        </w:rPr>
        <w:t xml:space="preserve"> </w:t>
      </w:r>
    </w:p>
    <w:p w14:paraId="3797BE32" w14:textId="5B79CB66" w:rsidR="00C12B54" w:rsidRDefault="00217604" w:rsidP="004D46AB">
      <w:pPr>
        <w:spacing w:before="240"/>
        <w:rPr>
          <w:rStyle w:val="normaltextrun"/>
        </w:rPr>
      </w:pPr>
      <w:r>
        <w:rPr>
          <w:rStyle w:val="normaltextrun"/>
        </w:rPr>
        <w:t>A</w:t>
      </w:r>
      <w:r w:rsidR="00E22F87">
        <w:rPr>
          <w:rStyle w:val="normaltextrun"/>
        </w:rPr>
        <w:t>uthority</w:t>
      </w:r>
      <w:r>
        <w:rPr>
          <w:rStyle w:val="normaltextrun"/>
        </w:rPr>
        <w:t xml:space="preserve"> for </w:t>
      </w:r>
      <w:r w:rsidR="00202BB4">
        <w:rPr>
          <w:rStyle w:val="normaltextrun"/>
        </w:rPr>
        <w:t xml:space="preserve">‘access to the represented person’ is </w:t>
      </w:r>
      <w:r w:rsidR="00E22F87">
        <w:rPr>
          <w:rStyle w:val="normaltextrun"/>
        </w:rPr>
        <w:t>given</w:t>
      </w:r>
      <w:r w:rsidR="00202BB4">
        <w:rPr>
          <w:rStyle w:val="normaltextrun"/>
        </w:rPr>
        <w:t xml:space="preserve"> </w:t>
      </w:r>
      <w:r w:rsidR="00295F9F">
        <w:rPr>
          <w:rStyle w:val="normaltextrun"/>
        </w:rPr>
        <w:t xml:space="preserve">where </w:t>
      </w:r>
      <w:r w:rsidR="00E22F87">
        <w:rPr>
          <w:rStyle w:val="normaltextrun"/>
        </w:rPr>
        <w:t xml:space="preserve">decisions are required about who the represented person can access. This need may arise when </w:t>
      </w:r>
      <w:r w:rsidR="00295F9F">
        <w:rPr>
          <w:rStyle w:val="normaltextrun"/>
        </w:rPr>
        <w:t xml:space="preserve">there are concerns </w:t>
      </w:r>
      <w:r w:rsidR="007E1652">
        <w:rPr>
          <w:rStyle w:val="normaltextrun"/>
        </w:rPr>
        <w:t>about an individual</w:t>
      </w:r>
      <w:r w:rsidR="005C64B2">
        <w:rPr>
          <w:rStyle w:val="normaltextrun"/>
        </w:rPr>
        <w:t xml:space="preserve"> </w:t>
      </w:r>
      <w:r w:rsidR="00B92860">
        <w:rPr>
          <w:rStyle w:val="normaltextrun"/>
        </w:rPr>
        <w:t>abus</w:t>
      </w:r>
      <w:r w:rsidR="00EE1A8E">
        <w:rPr>
          <w:rStyle w:val="normaltextrun"/>
        </w:rPr>
        <w:t>ing</w:t>
      </w:r>
      <w:r w:rsidR="00B92860">
        <w:rPr>
          <w:rStyle w:val="normaltextrun"/>
        </w:rPr>
        <w:t>, neglect</w:t>
      </w:r>
      <w:r w:rsidR="00EE1A8E">
        <w:rPr>
          <w:rStyle w:val="normaltextrun"/>
        </w:rPr>
        <w:t xml:space="preserve">ing </w:t>
      </w:r>
      <w:r w:rsidR="00B92860">
        <w:rPr>
          <w:rStyle w:val="normaltextrun"/>
        </w:rPr>
        <w:t>or exploiti</w:t>
      </w:r>
      <w:r w:rsidR="00EE1A8E">
        <w:rPr>
          <w:rStyle w:val="normaltextrun"/>
        </w:rPr>
        <w:t>ng the represented person</w:t>
      </w:r>
      <w:r w:rsidR="002D4AE8">
        <w:rPr>
          <w:rStyle w:val="normaltextrun"/>
        </w:rPr>
        <w:t xml:space="preserve"> </w:t>
      </w:r>
      <w:r w:rsidR="00EE1A8E">
        <w:rPr>
          <w:rStyle w:val="normaltextrun"/>
        </w:rPr>
        <w:t>or exerting undue influenc</w:t>
      </w:r>
      <w:r w:rsidR="00AD0B4D">
        <w:rPr>
          <w:rStyle w:val="normaltextrun"/>
        </w:rPr>
        <w:t>e</w:t>
      </w:r>
      <w:r w:rsidR="000E36B3">
        <w:rPr>
          <w:rStyle w:val="normaltextrun"/>
        </w:rPr>
        <w:t>.</w:t>
      </w:r>
      <w:r w:rsidR="00202BB4">
        <w:rPr>
          <w:rStyle w:val="normaltextrun"/>
        </w:rPr>
        <w:t xml:space="preserve"> </w:t>
      </w:r>
      <w:r w:rsidR="00C12B54">
        <w:rPr>
          <w:rStyle w:val="normaltextrun"/>
        </w:rPr>
        <w:t xml:space="preserve">An increase in access to persons authorities </w:t>
      </w:r>
      <w:r w:rsidR="00C12B54" w:rsidRPr="00B7316B">
        <w:rPr>
          <w:rStyle w:val="normaltextrun"/>
        </w:rPr>
        <w:t xml:space="preserve">suggest </w:t>
      </w:r>
      <w:r w:rsidR="00656A5A">
        <w:rPr>
          <w:rStyle w:val="normaltextrun"/>
        </w:rPr>
        <w:t>relationship</w:t>
      </w:r>
      <w:r w:rsidR="007355E4">
        <w:rPr>
          <w:rStyle w:val="normaltextrun"/>
        </w:rPr>
        <w:t>/family</w:t>
      </w:r>
      <w:r w:rsidR="00C12B54" w:rsidRPr="00B7316B">
        <w:rPr>
          <w:rStyle w:val="normaltextrun"/>
        </w:rPr>
        <w:t xml:space="preserve"> conflict is a factor </w:t>
      </w:r>
      <w:r w:rsidR="00C12B54">
        <w:rPr>
          <w:rStyle w:val="normaltextrun"/>
        </w:rPr>
        <w:t xml:space="preserve">for some people subject to multiple guardianship orders </w:t>
      </w:r>
      <w:r w:rsidR="00C12B54" w:rsidRPr="00B7316B">
        <w:rPr>
          <w:rStyle w:val="normaltextrun"/>
        </w:rPr>
        <w:t>(</w:t>
      </w:r>
      <w:r w:rsidR="00E401D8">
        <w:rPr>
          <w:rStyle w:val="normaltextrun"/>
        </w:rPr>
        <w:t xml:space="preserve">including </w:t>
      </w:r>
      <w:r w:rsidR="00C12B54" w:rsidRPr="00B7316B">
        <w:rPr>
          <w:rStyle w:val="normaltextrun"/>
        </w:rPr>
        <w:t xml:space="preserve">more than 1 in 5 people </w:t>
      </w:r>
      <w:r w:rsidR="00C12B54">
        <w:rPr>
          <w:rStyle w:val="normaltextrun"/>
        </w:rPr>
        <w:t xml:space="preserve">with </w:t>
      </w:r>
      <w:r w:rsidR="00C12B54" w:rsidRPr="00B7316B">
        <w:rPr>
          <w:rStyle w:val="normaltextrun"/>
        </w:rPr>
        <w:t>at least 6 orders)</w:t>
      </w:r>
      <w:r w:rsidR="00C12B54">
        <w:rPr>
          <w:rStyle w:val="normaltextrun"/>
        </w:rPr>
        <w:t>. However,</w:t>
      </w:r>
      <w:r w:rsidR="00C12B54" w:rsidRPr="00B7316B">
        <w:rPr>
          <w:rStyle w:val="normaltextrun"/>
        </w:rPr>
        <w:t xml:space="preserve"> matters involving </w:t>
      </w:r>
      <w:r w:rsidR="000400D7">
        <w:rPr>
          <w:rStyle w:val="normaltextrun"/>
        </w:rPr>
        <w:t xml:space="preserve">relationship </w:t>
      </w:r>
      <w:r w:rsidR="00C12B54" w:rsidRPr="00B7316B">
        <w:rPr>
          <w:rStyle w:val="normaltextrun"/>
        </w:rPr>
        <w:t>conflict will not always include this</w:t>
      </w:r>
      <w:r w:rsidR="00C12B54">
        <w:rPr>
          <w:rStyle w:val="normaltextrun"/>
        </w:rPr>
        <w:t xml:space="preserve"> authority</w:t>
      </w:r>
      <w:r w:rsidR="00C12B54" w:rsidRPr="00B7316B">
        <w:rPr>
          <w:rStyle w:val="normaltextrun"/>
        </w:rPr>
        <w:t>.</w:t>
      </w:r>
    </w:p>
    <w:p w14:paraId="66F951E0" w14:textId="6F990CBB" w:rsidR="00C12B54" w:rsidRDefault="00C12B54" w:rsidP="008A6FB1">
      <w:pPr>
        <w:pStyle w:val="Heading2"/>
      </w:pPr>
      <w:bookmarkStart w:id="19" w:name="_Toc200963482"/>
      <w:r>
        <w:t>Relationship between authority type and participant status</w:t>
      </w:r>
      <w:bookmarkEnd w:id="19"/>
    </w:p>
    <w:p w14:paraId="05C6FA63" w14:textId="6BEEA199" w:rsidR="00C12B54" w:rsidRDefault="00C12B54" w:rsidP="00C12B54">
      <w:r>
        <w:t>There is a positive correlation between NDIS participant status and ‘access to services’ authority. Ninety per cent of participants under guardianship had access to services authority on their order, compared with only 75 per cent of non-participants.</w:t>
      </w:r>
    </w:p>
    <w:p w14:paraId="3D804CAE" w14:textId="51C2CAD7" w:rsidR="00C12B54" w:rsidRDefault="00C12B54" w:rsidP="00C12B54">
      <w:r>
        <w:t>Only 2 per cent of NDIS participants had neither accommodation nor services authorities as part of their order, compared to 5 per cent of non-participants.</w:t>
      </w:r>
    </w:p>
    <w:p w14:paraId="753E4922" w14:textId="1752F150" w:rsidR="00C12B54" w:rsidRPr="006B01AC" w:rsidRDefault="00C12B54" w:rsidP="00DF63AB">
      <w:r>
        <w:lastRenderedPageBreak/>
        <w:t xml:space="preserve">Eleven per cent of NDIS participants who had experienced at least 3 orders had ‘access to persons’ authorities, compared with 21 per cent of non-participants. This suggests that </w:t>
      </w:r>
      <w:r w:rsidR="009D5716">
        <w:t xml:space="preserve">relationship </w:t>
      </w:r>
      <w:r>
        <w:t xml:space="preserve">conflict or coercion is more likely to </w:t>
      </w:r>
      <w:r w:rsidR="00893A39">
        <w:t>contribute to</w:t>
      </w:r>
      <w:r>
        <w:t xml:space="preserve"> the </w:t>
      </w:r>
      <w:r w:rsidR="00396BFB">
        <w:t xml:space="preserve">need for the </w:t>
      </w:r>
      <w:r>
        <w:t xml:space="preserve">reappointment of guardians for people who are not NDIS participants than </w:t>
      </w:r>
      <w:r w:rsidR="00F07935">
        <w:t>for NDIS participants</w:t>
      </w:r>
      <w:r>
        <w:t>.</w:t>
      </w:r>
      <w:r w:rsidR="00DF63AB">
        <w:t xml:space="preserve"> </w:t>
      </w:r>
      <w:r>
        <w:t xml:space="preserve">The exception to that finding is the group </w:t>
      </w:r>
      <w:r w:rsidR="00EA6755">
        <w:t>o</w:t>
      </w:r>
      <w:r>
        <w:t>f people who had experienced 6 or more guardianship orders. Of the 41 people who had experienced 6 or more orders</w:t>
      </w:r>
      <w:r w:rsidR="00212726">
        <w:t xml:space="preserve">, </w:t>
      </w:r>
      <w:r>
        <w:t xml:space="preserve">all </w:t>
      </w:r>
      <w:r w:rsidR="00212726">
        <w:t xml:space="preserve">are </w:t>
      </w:r>
      <w:r>
        <w:t>NDIS participants</w:t>
      </w:r>
      <w:r w:rsidR="00212726">
        <w:t xml:space="preserve"> and </w:t>
      </w:r>
      <w:r>
        <w:t xml:space="preserve">9 people (22 per cent) had ‘access to persons’ authorities as part of their guardianship order. </w:t>
      </w:r>
    </w:p>
    <w:p w14:paraId="718894DC" w14:textId="77777777" w:rsidR="00C12B54" w:rsidRPr="00A07440" w:rsidRDefault="00C12B54" w:rsidP="008A6FB1">
      <w:pPr>
        <w:pStyle w:val="Heading2"/>
      </w:pPr>
      <w:bookmarkStart w:id="20" w:name="_Toc200963483"/>
      <w:r>
        <w:t>A</w:t>
      </w:r>
      <w:r w:rsidRPr="00A07440">
        <w:t xml:space="preserve">nalysis of decisions </w:t>
      </w:r>
      <w:r>
        <w:t>by</w:t>
      </w:r>
      <w:r w:rsidRPr="00A07440">
        <w:t xml:space="preserve"> free text review</w:t>
      </w:r>
      <w:bookmarkEnd w:id="20"/>
    </w:p>
    <w:p w14:paraId="3B2E6F19" w14:textId="60DC7BBC" w:rsidR="00643E98" w:rsidRDefault="00C12B54" w:rsidP="00D92E3D">
      <w:pPr>
        <w:pStyle w:val="elementtoproof"/>
        <w:spacing w:before="0" w:beforeAutospacing="0" w:after="120" w:afterAutospacing="0" w:line="252" w:lineRule="auto"/>
        <w:rPr>
          <w:rFonts w:ascii="Arial" w:hAnsi="Arial" w:cs="Arial"/>
          <w:color w:val="000000"/>
          <w:sz w:val="22"/>
          <w:szCs w:val="22"/>
        </w:rPr>
      </w:pPr>
      <w:r w:rsidRPr="00B7316B">
        <w:rPr>
          <w:rFonts w:ascii="Arial" w:hAnsi="Arial" w:cs="Arial"/>
          <w:color w:val="000000"/>
          <w:sz w:val="22"/>
          <w:szCs w:val="22"/>
        </w:rPr>
        <w:t xml:space="preserve">Consideration was given to the free text capture from </w:t>
      </w:r>
      <w:r w:rsidR="00DA180B">
        <w:rPr>
          <w:rFonts w:ascii="Arial" w:hAnsi="Arial" w:cs="Arial"/>
          <w:color w:val="000000"/>
          <w:sz w:val="22"/>
          <w:szCs w:val="22"/>
        </w:rPr>
        <w:t xml:space="preserve">over </w:t>
      </w:r>
      <w:r w:rsidRPr="00B7316B">
        <w:rPr>
          <w:rFonts w:ascii="Arial" w:hAnsi="Arial" w:cs="Arial"/>
          <w:color w:val="000000"/>
          <w:sz w:val="22"/>
          <w:szCs w:val="22"/>
        </w:rPr>
        <w:t>6</w:t>
      </w:r>
      <w:r w:rsidR="00DA180B">
        <w:rPr>
          <w:rFonts w:ascii="Arial" w:hAnsi="Arial" w:cs="Arial"/>
          <w:color w:val="000000"/>
          <w:sz w:val="22"/>
          <w:szCs w:val="22"/>
        </w:rPr>
        <w:t>,</w:t>
      </w:r>
      <w:r w:rsidRPr="00B7316B">
        <w:rPr>
          <w:rFonts w:ascii="Arial" w:hAnsi="Arial" w:cs="Arial"/>
          <w:color w:val="000000"/>
          <w:sz w:val="22"/>
          <w:szCs w:val="22"/>
        </w:rPr>
        <w:t>000 decisions made by guardians since July 2023.</w:t>
      </w:r>
      <w:r w:rsidR="006A6BBC">
        <w:rPr>
          <w:rFonts w:ascii="Arial" w:hAnsi="Arial" w:cs="Arial"/>
          <w:color w:val="000000"/>
          <w:sz w:val="22"/>
          <w:szCs w:val="22"/>
        </w:rPr>
        <w:t xml:space="preserve"> </w:t>
      </w:r>
      <w:r w:rsidRPr="00B7316B">
        <w:rPr>
          <w:rFonts w:ascii="Arial" w:hAnsi="Arial" w:cs="Arial"/>
          <w:color w:val="000000"/>
          <w:sz w:val="22"/>
          <w:szCs w:val="22"/>
        </w:rPr>
        <w:t xml:space="preserve">This revealed that people with more orders had on average a higher number of decisions made per person. </w:t>
      </w:r>
    </w:p>
    <w:p w14:paraId="78BFF30D" w14:textId="77777777" w:rsidR="00803BCD" w:rsidRPr="00B7316B" w:rsidRDefault="00803BCD" w:rsidP="00803BCD">
      <w:pPr>
        <w:pStyle w:val="elementtoproof"/>
        <w:spacing w:before="0" w:beforeAutospacing="0" w:after="0" w:afterAutospacing="0" w:line="252" w:lineRule="auto"/>
        <w:rPr>
          <w:rFonts w:ascii="Arial" w:hAnsi="Arial" w:cs="Arial"/>
          <w:color w:val="000000"/>
          <w:sz w:val="22"/>
          <w:szCs w:val="22"/>
        </w:rPr>
      </w:pPr>
    </w:p>
    <w:tbl>
      <w:tblPr>
        <w:tblW w:w="89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5"/>
        <w:gridCol w:w="3882"/>
        <w:gridCol w:w="3109"/>
      </w:tblGrid>
      <w:tr w:rsidR="00C12B54" w:rsidRPr="00B7316B" w14:paraId="1824AB0A" w14:textId="77777777" w:rsidTr="00C77532">
        <w:trPr>
          <w:trHeight w:val="290"/>
          <w:jc w:val="center"/>
        </w:trPr>
        <w:tc>
          <w:tcPr>
            <w:tcW w:w="1935"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center"/>
            <w:hideMark/>
          </w:tcPr>
          <w:p w14:paraId="3CAE319D" w14:textId="77777777" w:rsidR="00C12B54" w:rsidRPr="0037757B" w:rsidRDefault="00C12B54" w:rsidP="000D201C">
            <w:pPr>
              <w:spacing w:after="0" w:line="252" w:lineRule="auto"/>
              <w:jc w:val="center"/>
              <w:rPr>
                <w:rFonts w:eastAsia="Times New Roman"/>
                <w:sz w:val="20"/>
                <w:szCs w:val="20"/>
              </w:rPr>
            </w:pPr>
          </w:p>
        </w:tc>
        <w:tc>
          <w:tcPr>
            <w:tcW w:w="3882"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bottom"/>
            <w:hideMark/>
          </w:tcPr>
          <w:p w14:paraId="01B234EC" w14:textId="77777777" w:rsidR="00C12B54" w:rsidRPr="0037757B" w:rsidRDefault="00C12B54" w:rsidP="000D201C">
            <w:pPr>
              <w:spacing w:after="0" w:line="252" w:lineRule="auto"/>
              <w:jc w:val="center"/>
              <w:rPr>
                <w:rFonts w:eastAsia="Times New Roman"/>
                <w:b/>
                <w:bCs/>
                <w:color w:val="000000"/>
                <w:sz w:val="20"/>
                <w:szCs w:val="20"/>
              </w:rPr>
            </w:pPr>
            <w:r w:rsidRPr="0037757B">
              <w:rPr>
                <w:rFonts w:eastAsia="Times New Roman"/>
                <w:b/>
                <w:bCs/>
                <w:color w:val="000000"/>
                <w:sz w:val="20"/>
                <w:szCs w:val="20"/>
              </w:rPr>
              <w:t xml:space="preserve">Number of people </w:t>
            </w:r>
          </w:p>
          <w:p w14:paraId="2CA4EFE4" w14:textId="77777777" w:rsidR="00C12B54" w:rsidRPr="0037757B" w:rsidRDefault="00C12B54" w:rsidP="000D201C">
            <w:pPr>
              <w:spacing w:after="0" w:line="252" w:lineRule="auto"/>
              <w:jc w:val="center"/>
              <w:rPr>
                <w:rFonts w:eastAsia="Times New Roman"/>
                <w:b/>
                <w:bCs/>
                <w:color w:val="000000"/>
                <w:sz w:val="20"/>
                <w:szCs w:val="20"/>
              </w:rPr>
            </w:pPr>
            <w:r w:rsidRPr="0037757B">
              <w:rPr>
                <w:rFonts w:eastAsia="Times New Roman"/>
                <w:b/>
                <w:bCs/>
                <w:color w:val="000000"/>
                <w:sz w:val="20"/>
                <w:szCs w:val="20"/>
              </w:rPr>
              <w:t>who had a decision recorded</w:t>
            </w:r>
          </w:p>
        </w:tc>
        <w:tc>
          <w:tcPr>
            <w:tcW w:w="3109" w:type="dxa"/>
            <w:tcBorders>
              <w:top w:val="single" w:sz="4" w:space="0" w:color="auto"/>
              <w:left w:val="single" w:sz="4" w:space="0" w:color="auto"/>
              <w:bottom w:val="single" w:sz="4" w:space="0" w:color="auto"/>
              <w:right w:val="single" w:sz="4" w:space="0" w:color="auto"/>
            </w:tcBorders>
            <w:shd w:val="clear" w:color="auto" w:fill="C1E4F5" w:themeFill="accent1" w:themeFillTint="33"/>
            <w:noWrap/>
            <w:vAlign w:val="bottom"/>
            <w:hideMark/>
          </w:tcPr>
          <w:p w14:paraId="4E93D379" w14:textId="77777777" w:rsidR="00C12B54" w:rsidRPr="0037757B" w:rsidRDefault="00C12B54" w:rsidP="000D201C">
            <w:pPr>
              <w:spacing w:after="0" w:line="252" w:lineRule="auto"/>
              <w:jc w:val="center"/>
              <w:rPr>
                <w:rFonts w:eastAsia="Times New Roman"/>
                <w:b/>
                <w:bCs/>
                <w:color w:val="000000"/>
                <w:sz w:val="20"/>
                <w:szCs w:val="20"/>
              </w:rPr>
            </w:pPr>
            <w:r w:rsidRPr="0037757B">
              <w:rPr>
                <w:rFonts w:eastAsia="Times New Roman"/>
                <w:b/>
                <w:bCs/>
                <w:color w:val="000000"/>
                <w:sz w:val="20"/>
                <w:szCs w:val="20"/>
              </w:rPr>
              <w:t>Average number of decisions recorded</w:t>
            </w:r>
          </w:p>
        </w:tc>
      </w:tr>
      <w:tr w:rsidR="00C12B54" w:rsidRPr="00B7316B" w14:paraId="4C59D5D5" w14:textId="77777777" w:rsidTr="000D201C">
        <w:trPr>
          <w:trHeight w:val="290"/>
          <w:jc w:val="center"/>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C26F8E" w14:textId="77777777" w:rsidR="00C12B54" w:rsidRPr="0037757B" w:rsidRDefault="00C12B54" w:rsidP="000D201C">
            <w:pPr>
              <w:spacing w:after="0" w:line="252" w:lineRule="auto"/>
              <w:rPr>
                <w:rFonts w:eastAsia="Times New Roman"/>
                <w:color w:val="000000"/>
                <w:sz w:val="20"/>
                <w:szCs w:val="20"/>
              </w:rPr>
            </w:pPr>
            <w:r w:rsidRPr="0037757B">
              <w:rPr>
                <w:rFonts w:eastAsia="Times New Roman"/>
                <w:color w:val="000000"/>
                <w:sz w:val="20"/>
                <w:szCs w:val="20"/>
              </w:rPr>
              <w:t>1-2 orders</w:t>
            </w:r>
          </w:p>
        </w:tc>
        <w:tc>
          <w:tcPr>
            <w:tcW w:w="3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3E7B05" w14:textId="77777777" w:rsidR="00C12B54" w:rsidRPr="0037757B" w:rsidRDefault="00C12B54" w:rsidP="000D201C">
            <w:pPr>
              <w:spacing w:after="0" w:line="252" w:lineRule="auto"/>
              <w:jc w:val="center"/>
              <w:rPr>
                <w:rFonts w:eastAsia="Times New Roman"/>
                <w:color w:val="000000"/>
                <w:sz w:val="20"/>
                <w:szCs w:val="20"/>
              </w:rPr>
            </w:pPr>
            <w:r w:rsidRPr="0037757B">
              <w:rPr>
                <w:rFonts w:eastAsia="Times New Roman"/>
                <w:color w:val="000000"/>
                <w:sz w:val="20"/>
                <w:szCs w:val="20"/>
              </w:rPr>
              <w:t>980</w:t>
            </w:r>
          </w:p>
        </w:tc>
        <w:tc>
          <w:tcPr>
            <w:tcW w:w="31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023FE4" w14:textId="77777777" w:rsidR="00C12B54" w:rsidRPr="0037757B" w:rsidRDefault="00C12B54" w:rsidP="000D201C">
            <w:pPr>
              <w:spacing w:after="0" w:line="252" w:lineRule="auto"/>
              <w:jc w:val="center"/>
              <w:rPr>
                <w:rFonts w:eastAsia="Times New Roman"/>
                <w:color w:val="000000"/>
                <w:sz w:val="20"/>
                <w:szCs w:val="20"/>
              </w:rPr>
            </w:pPr>
            <w:r w:rsidRPr="0037757B">
              <w:rPr>
                <w:rFonts w:eastAsia="Times New Roman"/>
                <w:color w:val="000000"/>
                <w:sz w:val="20"/>
                <w:szCs w:val="20"/>
              </w:rPr>
              <w:t>3.9</w:t>
            </w:r>
          </w:p>
        </w:tc>
      </w:tr>
      <w:tr w:rsidR="00C12B54" w:rsidRPr="00B7316B" w14:paraId="4B48047B" w14:textId="77777777" w:rsidTr="000D201C">
        <w:trPr>
          <w:trHeight w:val="290"/>
          <w:jc w:val="center"/>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6D3B93" w14:textId="77777777" w:rsidR="00C12B54" w:rsidRPr="0037757B" w:rsidRDefault="00C12B54" w:rsidP="000D201C">
            <w:pPr>
              <w:spacing w:after="0" w:line="252" w:lineRule="auto"/>
              <w:rPr>
                <w:rFonts w:eastAsia="Times New Roman"/>
                <w:color w:val="000000"/>
                <w:sz w:val="20"/>
                <w:szCs w:val="20"/>
              </w:rPr>
            </w:pPr>
            <w:r w:rsidRPr="0037757B">
              <w:rPr>
                <w:rFonts w:eastAsia="Times New Roman"/>
                <w:color w:val="000000"/>
                <w:sz w:val="20"/>
                <w:szCs w:val="20"/>
              </w:rPr>
              <w:t>3-5 orders</w:t>
            </w:r>
          </w:p>
        </w:tc>
        <w:tc>
          <w:tcPr>
            <w:tcW w:w="3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933F28" w14:textId="77777777" w:rsidR="00C12B54" w:rsidRPr="0037757B" w:rsidRDefault="00C12B54" w:rsidP="000D201C">
            <w:pPr>
              <w:spacing w:after="0" w:line="252" w:lineRule="auto"/>
              <w:jc w:val="center"/>
              <w:rPr>
                <w:rFonts w:eastAsia="Times New Roman"/>
                <w:color w:val="000000"/>
                <w:sz w:val="20"/>
                <w:szCs w:val="20"/>
              </w:rPr>
            </w:pPr>
            <w:r w:rsidRPr="0037757B">
              <w:rPr>
                <w:rFonts w:eastAsia="Times New Roman"/>
                <w:color w:val="000000"/>
                <w:sz w:val="20"/>
                <w:szCs w:val="20"/>
              </w:rPr>
              <w:t>182</w:t>
            </w:r>
          </w:p>
        </w:tc>
        <w:tc>
          <w:tcPr>
            <w:tcW w:w="31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EAC9AE" w14:textId="77777777" w:rsidR="00C12B54" w:rsidRPr="0037757B" w:rsidRDefault="00C12B54" w:rsidP="000D201C">
            <w:pPr>
              <w:spacing w:after="0" w:line="252" w:lineRule="auto"/>
              <w:jc w:val="center"/>
              <w:rPr>
                <w:rFonts w:eastAsia="Times New Roman"/>
                <w:color w:val="000000"/>
                <w:sz w:val="20"/>
                <w:szCs w:val="20"/>
              </w:rPr>
            </w:pPr>
            <w:r w:rsidRPr="0037757B">
              <w:rPr>
                <w:rFonts w:eastAsia="Times New Roman"/>
                <w:color w:val="000000"/>
                <w:sz w:val="20"/>
                <w:szCs w:val="20"/>
              </w:rPr>
              <w:t>5.9</w:t>
            </w:r>
          </w:p>
        </w:tc>
      </w:tr>
      <w:tr w:rsidR="00C12B54" w:rsidRPr="00B7316B" w14:paraId="6A6F6B49" w14:textId="77777777" w:rsidTr="000D201C">
        <w:trPr>
          <w:trHeight w:val="290"/>
          <w:jc w:val="center"/>
        </w:trPr>
        <w:tc>
          <w:tcPr>
            <w:tcW w:w="193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E0CEA8" w14:textId="77777777" w:rsidR="00C12B54" w:rsidRPr="0037757B" w:rsidRDefault="00C12B54" w:rsidP="000D201C">
            <w:pPr>
              <w:spacing w:after="0" w:line="252" w:lineRule="auto"/>
              <w:rPr>
                <w:rFonts w:eastAsia="Times New Roman"/>
                <w:color w:val="000000"/>
                <w:sz w:val="20"/>
                <w:szCs w:val="20"/>
              </w:rPr>
            </w:pPr>
            <w:r w:rsidRPr="0037757B">
              <w:rPr>
                <w:rFonts w:eastAsia="Times New Roman"/>
                <w:color w:val="000000"/>
                <w:sz w:val="20"/>
                <w:szCs w:val="20"/>
              </w:rPr>
              <w:t>6+ orders</w:t>
            </w:r>
          </w:p>
        </w:tc>
        <w:tc>
          <w:tcPr>
            <w:tcW w:w="388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64D30E" w14:textId="77777777" w:rsidR="00C12B54" w:rsidRPr="0037757B" w:rsidRDefault="00C12B54" w:rsidP="000D201C">
            <w:pPr>
              <w:spacing w:after="0" w:line="252" w:lineRule="auto"/>
              <w:jc w:val="center"/>
              <w:rPr>
                <w:rFonts w:eastAsia="Times New Roman"/>
                <w:color w:val="000000"/>
                <w:sz w:val="20"/>
                <w:szCs w:val="20"/>
              </w:rPr>
            </w:pPr>
            <w:r w:rsidRPr="0037757B">
              <w:rPr>
                <w:rFonts w:eastAsia="Times New Roman"/>
                <w:color w:val="000000"/>
                <w:sz w:val="20"/>
                <w:szCs w:val="20"/>
              </w:rPr>
              <w:t>37</w:t>
            </w:r>
          </w:p>
        </w:tc>
        <w:tc>
          <w:tcPr>
            <w:tcW w:w="310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0199A0" w14:textId="77777777" w:rsidR="00C12B54" w:rsidRPr="0037757B" w:rsidRDefault="00C12B54" w:rsidP="000D201C">
            <w:pPr>
              <w:spacing w:after="0" w:line="252" w:lineRule="auto"/>
              <w:jc w:val="center"/>
              <w:rPr>
                <w:rFonts w:eastAsia="Times New Roman"/>
                <w:color w:val="000000"/>
                <w:sz w:val="20"/>
                <w:szCs w:val="20"/>
              </w:rPr>
            </w:pPr>
            <w:r w:rsidRPr="0037757B">
              <w:rPr>
                <w:rFonts w:eastAsia="Times New Roman"/>
                <w:color w:val="000000"/>
                <w:sz w:val="20"/>
                <w:szCs w:val="20"/>
              </w:rPr>
              <w:t>6.2</w:t>
            </w:r>
          </w:p>
        </w:tc>
      </w:tr>
    </w:tbl>
    <w:p w14:paraId="4F73B965" w14:textId="64003C1D" w:rsidR="00C12B54" w:rsidRPr="00632689" w:rsidRDefault="00C12B54" w:rsidP="00F546FA">
      <w:pPr>
        <w:spacing w:line="240" w:lineRule="auto"/>
        <w:jc w:val="center"/>
      </w:pPr>
      <w:r w:rsidRPr="0037757B">
        <w:rPr>
          <w:b/>
          <w:bCs/>
          <w:color w:val="000000"/>
          <w:sz w:val="20"/>
          <w:szCs w:val="20"/>
        </w:rPr>
        <w:t xml:space="preserve">Table </w:t>
      </w:r>
      <w:r w:rsidR="00614787" w:rsidRPr="0037757B">
        <w:rPr>
          <w:b/>
          <w:bCs/>
          <w:color w:val="000000"/>
          <w:sz w:val="20"/>
          <w:szCs w:val="20"/>
        </w:rPr>
        <w:t>7</w:t>
      </w:r>
      <w:r w:rsidR="007D6522">
        <w:rPr>
          <w:b/>
          <w:bCs/>
          <w:color w:val="000000"/>
          <w:sz w:val="20"/>
          <w:szCs w:val="20"/>
        </w:rPr>
        <w:t>:</w:t>
      </w:r>
      <w:r w:rsidRPr="0037757B">
        <w:rPr>
          <w:color w:val="000000"/>
          <w:sz w:val="20"/>
          <w:szCs w:val="20"/>
        </w:rPr>
        <w:t xml:space="preserve"> Number of decisions by reappointment cohort</w:t>
      </w:r>
    </w:p>
    <w:p w14:paraId="25421335" w14:textId="5BBF6600" w:rsidR="00F1651D" w:rsidRDefault="00C12B54" w:rsidP="00C12B54">
      <w:pPr>
        <w:pStyle w:val="elementtoproof"/>
        <w:spacing w:after="120" w:afterAutospacing="0" w:line="252" w:lineRule="auto"/>
        <w:rPr>
          <w:rFonts w:ascii="Arial" w:hAnsi="Arial" w:cs="Arial"/>
          <w:color w:val="000000"/>
          <w:sz w:val="22"/>
          <w:szCs w:val="22"/>
        </w:rPr>
      </w:pPr>
      <w:r w:rsidRPr="00B7316B">
        <w:rPr>
          <w:rFonts w:ascii="Arial" w:hAnsi="Arial" w:cs="Arial"/>
          <w:color w:val="000000"/>
          <w:sz w:val="22"/>
          <w:szCs w:val="22"/>
        </w:rPr>
        <w:t xml:space="preserve">The analysis considered decision types for all decisions made </w:t>
      </w:r>
      <w:r>
        <w:rPr>
          <w:rFonts w:ascii="Arial" w:hAnsi="Arial" w:cs="Arial"/>
          <w:color w:val="000000"/>
          <w:sz w:val="22"/>
          <w:szCs w:val="22"/>
        </w:rPr>
        <w:t>between</w:t>
      </w:r>
      <w:r w:rsidRPr="00B7316B">
        <w:rPr>
          <w:rFonts w:ascii="Arial" w:hAnsi="Arial" w:cs="Arial"/>
          <w:color w:val="000000"/>
          <w:sz w:val="22"/>
          <w:szCs w:val="22"/>
        </w:rPr>
        <w:t xml:space="preserve"> July 2023 </w:t>
      </w:r>
      <w:r>
        <w:rPr>
          <w:rFonts w:ascii="Arial" w:hAnsi="Arial" w:cs="Arial"/>
          <w:color w:val="000000"/>
          <w:sz w:val="22"/>
          <w:szCs w:val="22"/>
        </w:rPr>
        <w:t xml:space="preserve">– December 2024 </w:t>
      </w:r>
      <w:r w:rsidRPr="00B7316B">
        <w:rPr>
          <w:rFonts w:ascii="Arial" w:hAnsi="Arial" w:cs="Arial"/>
          <w:color w:val="000000"/>
          <w:sz w:val="22"/>
          <w:szCs w:val="22"/>
        </w:rPr>
        <w:t xml:space="preserve">by number of orders the person has been subject to. </w:t>
      </w:r>
      <w:r w:rsidR="00321679">
        <w:rPr>
          <w:rFonts w:ascii="Arial" w:hAnsi="Arial" w:cs="Arial"/>
          <w:color w:val="000000"/>
          <w:sz w:val="22"/>
          <w:szCs w:val="22"/>
        </w:rPr>
        <w:t>As seen in table 8</w:t>
      </w:r>
      <w:r w:rsidR="007D6522">
        <w:rPr>
          <w:rFonts w:ascii="Arial" w:hAnsi="Arial" w:cs="Arial"/>
          <w:color w:val="000000"/>
          <w:sz w:val="22"/>
          <w:szCs w:val="22"/>
        </w:rPr>
        <w:t xml:space="preserve">, </w:t>
      </w:r>
      <w:r w:rsidR="00BA226D">
        <w:rPr>
          <w:rFonts w:ascii="Arial" w:hAnsi="Arial" w:cs="Arial"/>
          <w:color w:val="000000"/>
          <w:sz w:val="22"/>
          <w:szCs w:val="22"/>
        </w:rPr>
        <w:t>t</w:t>
      </w:r>
      <w:r w:rsidR="00506E40">
        <w:rPr>
          <w:rFonts w:ascii="Arial" w:hAnsi="Arial" w:cs="Arial"/>
          <w:color w:val="000000"/>
          <w:sz w:val="22"/>
          <w:szCs w:val="22"/>
        </w:rPr>
        <w:t xml:space="preserve">his analysis </w:t>
      </w:r>
      <w:r w:rsidR="00321679">
        <w:rPr>
          <w:rFonts w:ascii="Arial" w:hAnsi="Arial" w:cs="Arial"/>
          <w:color w:val="000000"/>
          <w:sz w:val="22"/>
          <w:szCs w:val="22"/>
        </w:rPr>
        <w:t xml:space="preserve">indicates </w:t>
      </w:r>
      <w:r w:rsidRPr="00B7316B">
        <w:rPr>
          <w:rFonts w:ascii="Arial" w:hAnsi="Arial" w:cs="Arial"/>
          <w:color w:val="000000"/>
          <w:sz w:val="22"/>
          <w:szCs w:val="22"/>
        </w:rPr>
        <w:t>variations between the three cohorts</w:t>
      </w:r>
      <w:r w:rsidR="00BA226D">
        <w:rPr>
          <w:rFonts w:ascii="Arial" w:hAnsi="Arial" w:cs="Arial"/>
          <w:color w:val="000000"/>
          <w:sz w:val="22"/>
          <w:szCs w:val="22"/>
        </w:rPr>
        <w:t xml:space="preserve">, </w:t>
      </w:r>
      <w:r w:rsidRPr="00B7316B">
        <w:rPr>
          <w:rFonts w:ascii="Arial" w:hAnsi="Arial" w:cs="Arial"/>
          <w:color w:val="000000"/>
          <w:sz w:val="22"/>
          <w:szCs w:val="22"/>
        </w:rPr>
        <w:t xml:space="preserve">with </w:t>
      </w:r>
      <w:r w:rsidR="00BA226D">
        <w:rPr>
          <w:rFonts w:ascii="Arial" w:hAnsi="Arial" w:cs="Arial"/>
          <w:color w:val="000000"/>
          <w:sz w:val="22"/>
          <w:szCs w:val="22"/>
        </w:rPr>
        <w:t>closer</w:t>
      </w:r>
      <w:r w:rsidR="00BA226D" w:rsidRPr="00B7316B">
        <w:rPr>
          <w:rFonts w:ascii="Arial" w:hAnsi="Arial" w:cs="Arial"/>
          <w:color w:val="000000"/>
          <w:sz w:val="22"/>
          <w:szCs w:val="22"/>
        </w:rPr>
        <w:t xml:space="preserve"> </w:t>
      </w:r>
      <w:r w:rsidRPr="00B7316B">
        <w:rPr>
          <w:rFonts w:ascii="Arial" w:hAnsi="Arial" w:cs="Arial"/>
          <w:color w:val="000000"/>
          <w:sz w:val="22"/>
          <w:szCs w:val="22"/>
        </w:rPr>
        <w:t xml:space="preserve">alignment </w:t>
      </w:r>
      <w:r w:rsidR="0002574D">
        <w:rPr>
          <w:rFonts w:ascii="Arial" w:hAnsi="Arial" w:cs="Arial"/>
          <w:color w:val="000000"/>
          <w:sz w:val="22"/>
          <w:szCs w:val="22"/>
        </w:rPr>
        <w:t xml:space="preserve">seen </w:t>
      </w:r>
      <w:r w:rsidRPr="00B7316B">
        <w:rPr>
          <w:rFonts w:ascii="Arial" w:hAnsi="Arial" w:cs="Arial"/>
          <w:color w:val="000000"/>
          <w:sz w:val="22"/>
          <w:szCs w:val="22"/>
        </w:rPr>
        <w:t>between the 3-5 orders and 6+orders cohorts.</w:t>
      </w:r>
    </w:p>
    <w:p w14:paraId="12DDD9C3" w14:textId="77777777" w:rsidR="00803BCD" w:rsidRDefault="00803BCD" w:rsidP="00803BCD">
      <w:pPr>
        <w:pStyle w:val="elementtoproof"/>
        <w:spacing w:before="0" w:beforeAutospacing="0" w:after="0" w:afterAutospacing="0" w:line="252" w:lineRule="auto"/>
        <w:rPr>
          <w:rFonts w:ascii="Arial" w:hAnsi="Arial" w:cs="Arial"/>
          <w:color w:val="000000"/>
          <w:sz w:val="22"/>
          <w:szCs w:val="22"/>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0"/>
        <w:gridCol w:w="1559"/>
        <w:gridCol w:w="1701"/>
        <w:gridCol w:w="1701"/>
      </w:tblGrid>
      <w:tr w:rsidR="00C12B54" w:rsidRPr="00583DA7" w14:paraId="746AC710" w14:textId="77777777" w:rsidTr="00C77532">
        <w:trPr>
          <w:cantSplit/>
          <w:trHeight w:val="290"/>
          <w:jc w:val="center"/>
        </w:trPr>
        <w:tc>
          <w:tcPr>
            <w:tcW w:w="4390" w:type="dxa"/>
            <w:shd w:val="clear" w:color="auto" w:fill="C1E4F5" w:themeFill="accent1" w:themeFillTint="33"/>
            <w:noWrap/>
            <w:vAlign w:val="bottom"/>
            <w:hideMark/>
          </w:tcPr>
          <w:p w14:paraId="722DF6B5" w14:textId="5E2DF384" w:rsidR="00C12B54" w:rsidRPr="002529D4" w:rsidRDefault="00A77E4A" w:rsidP="00260DE5">
            <w:pPr>
              <w:spacing w:line="252" w:lineRule="auto"/>
              <w:jc w:val="center"/>
              <w:rPr>
                <w:rFonts w:eastAsia="Times New Roman"/>
                <w:b/>
                <w:bCs/>
                <w:color w:val="000000"/>
                <w:sz w:val="20"/>
                <w:szCs w:val="20"/>
              </w:rPr>
            </w:pPr>
            <w:r>
              <w:rPr>
                <w:rFonts w:eastAsia="Times New Roman"/>
                <w:b/>
                <w:bCs/>
                <w:color w:val="000000"/>
                <w:sz w:val="20"/>
                <w:szCs w:val="20"/>
              </w:rPr>
              <w:t>Decision t</w:t>
            </w:r>
            <w:r w:rsidR="00260DE5">
              <w:rPr>
                <w:rFonts w:eastAsia="Times New Roman"/>
                <w:b/>
                <w:bCs/>
                <w:color w:val="000000"/>
                <w:sz w:val="20"/>
                <w:szCs w:val="20"/>
              </w:rPr>
              <w:t>ype</w:t>
            </w:r>
          </w:p>
        </w:tc>
        <w:tc>
          <w:tcPr>
            <w:tcW w:w="1559" w:type="dxa"/>
            <w:shd w:val="clear" w:color="auto" w:fill="C1E4F5" w:themeFill="accent1" w:themeFillTint="33"/>
            <w:noWrap/>
            <w:vAlign w:val="bottom"/>
            <w:hideMark/>
          </w:tcPr>
          <w:p w14:paraId="685E75C9" w14:textId="77777777" w:rsidR="00C12B54" w:rsidRPr="002529D4" w:rsidRDefault="00C12B54" w:rsidP="000D201C">
            <w:pPr>
              <w:spacing w:after="0" w:line="252" w:lineRule="auto"/>
              <w:jc w:val="center"/>
              <w:rPr>
                <w:rFonts w:eastAsia="Times New Roman"/>
                <w:b/>
                <w:bCs/>
                <w:color w:val="000000"/>
                <w:sz w:val="20"/>
                <w:szCs w:val="20"/>
              </w:rPr>
            </w:pPr>
            <w:r w:rsidRPr="002529D4">
              <w:rPr>
                <w:rFonts w:eastAsia="Times New Roman"/>
                <w:b/>
                <w:bCs/>
                <w:color w:val="000000"/>
                <w:sz w:val="20"/>
                <w:szCs w:val="20"/>
              </w:rPr>
              <w:t>&lt;3 orders (n=3861)</w:t>
            </w:r>
          </w:p>
        </w:tc>
        <w:tc>
          <w:tcPr>
            <w:tcW w:w="1701" w:type="dxa"/>
            <w:shd w:val="clear" w:color="auto" w:fill="C1E4F5" w:themeFill="accent1" w:themeFillTint="33"/>
            <w:noWrap/>
            <w:vAlign w:val="bottom"/>
            <w:hideMark/>
          </w:tcPr>
          <w:p w14:paraId="0AD99FED" w14:textId="77777777" w:rsidR="00C12B54" w:rsidRPr="002529D4" w:rsidRDefault="00C12B54" w:rsidP="000D201C">
            <w:pPr>
              <w:spacing w:after="0" w:line="252" w:lineRule="auto"/>
              <w:jc w:val="center"/>
              <w:rPr>
                <w:rFonts w:eastAsia="Times New Roman"/>
                <w:b/>
                <w:bCs/>
                <w:color w:val="000000"/>
                <w:sz w:val="20"/>
                <w:szCs w:val="20"/>
              </w:rPr>
            </w:pPr>
            <w:r w:rsidRPr="002529D4">
              <w:rPr>
                <w:rFonts w:eastAsia="Times New Roman"/>
                <w:b/>
                <w:bCs/>
                <w:color w:val="000000"/>
                <w:sz w:val="20"/>
                <w:szCs w:val="20"/>
              </w:rPr>
              <w:t>3-5 orders (n=1082)</w:t>
            </w:r>
          </w:p>
        </w:tc>
        <w:tc>
          <w:tcPr>
            <w:tcW w:w="1701" w:type="dxa"/>
            <w:shd w:val="clear" w:color="auto" w:fill="C1E4F5" w:themeFill="accent1" w:themeFillTint="33"/>
            <w:noWrap/>
            <w:vAlign w:val="bottom"/>
            <w:hideMark/>
          </w:tcPr>
          <w:p w14:paraId="59D8FCE5" w14:textId="77777777" w:rsidR="00C12B54" w:rsidRPr="002529D4" w:rsidRDefault="00C12B54" w:rsidP="000D201C">
            <w:pPr>
              <w:spacing w:after="0" w:line="252" w:lineRule="auto"/>
              <w:jc w:val="center"/>
              <w:rPr>
                <w:rFonts w:eastAsia="Times New Roman"/>
                <w:b/>
                <w:bCs/>
                <w:color w:val="000000"/>
                <w:sz w:val="20"/>
                <w:szCs w:val="20"/>
              </w:rPr>
            </w:pPr>
            <w:r w:rsidRPr="002529D4">
              <w:rPr>
                <w:rFonts w:eastAsia="Times New Roman"/>
                <w:b/>
                <w:bCs/>
                <w:color w:val="000000"/>
                <w:sz w:val="20"/>
                <w:szCs w:val="20"/>
              </w:rPr>
              <w:t>6+ orders (n=230)</w:t>
            </w:r>
          </w:p>
        </w:tc>
      </w:tr>
      <w:tr w:rsidR="00C12B54" w:rsidRPr="00583DA7" w14:paraId="7782F534" w14:textId="77777777" w:rsidTr="2D440B3A">
        <w:trPr>
          <w:trHeight w:val="290"/>
          <w:jc w:val="center"/>
        </w:trPr>
        <w:tc>
          <w:tcPr>
            <w:tcW w:w="4390" w:type="dxa"/>
            <w:shd w:val="clear" w:color="auto" w:fill="auto"/>
            <w:noWrap/>
            <w:vAlign w:val="bottom"/>
            <w:hideMark/>
          </w:tcPr>
          <w:p w14:paraId="3F63A3E7" w14:textId="77777777" w:rsidR="00C12B54" w:rsidRPr="002529D4" w:rsidRDefault="00C12B54" w:rsidP="000D201C">
            <w:pPr>
              <w:spacing w:after="0" w:line="252" w:lineRule="auto"/>
              <w:rPr>
                <w:rFonts w:eastAsia="Times New Roman"/>
                <w:color w:val="000000"/>
                <w:sz w:val="20"/>
                <w:szCs w:val="20"/>
              </w:rPr>
            </w:pPr>
            <w:r w:rsidRPr="002529D4">
              <w:rPr>
                <w:rFonts w:eastAsia="Times New Roman"/>
                <w:color w:val="000000"/>
                <w:sz w:val="20"/>
                <w:szCs w:val="20"/>
              </w:rPr>
              <w:t>Access to persons</w:t>
            </w:r>
          </w:p>
        </w:tc>
        <w:tc>
          <w:tcPr>
            <w:tcW w:w="1559" w:type="dxa"/>
            <w:shd w:val="clear" w:color="auto" w:fill="auto"/>
            <w:noWrap/>
            <w:vAlign w:val="bottom"/>
            <w:hideMark/>
          </w:tcPr>
          <w:p w14:paraId="6C93AEC1"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2.3%</w:t>
            </w:r>
          </w:p>
        </w:tc>
        <w:tc>
          <w:tcPr>
            <w:tcW w:w="1701" w:type="dxa"/>
            <w:shd w:val="clear" w:color="auto" w:fill="D9D9D9" w:themeFill="background1" w:themeFillShade="D9"/>
            <w:noWrap/>
            <w:vAlign w:val="bottom"/>
            <w:hideMark/>
          </w:tcPr>
          <w:p w14:paraId="78A41A25"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3.8%</w:t>
            </w:r>
          </w:p>
        </w:tc>
        <w:tc>
          <w:tcPr>
            <w:tcW w:w="1701" w:type="dxa"/>
            <w:shd w:val="clear" w:color="auto" w:fill="D9D9D9" w:themeFill="background1" w:themeFillShade="D9"/>
            <w:noWrap/>
            <w:vAlign w:val="bottom"/>
            <w:hideMark/>
          </w:tcPr>
          <w:p w14:paraId="4A8BFD58"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4.3%</w:t>
            </w:r>
          </w:p>
        </w:tc>
      </w:tr>
      <w:tr w:rsidR="00C12B54" w:rsidRPr="00583DA7" w14:paraId="454029F2" w14:textId="77777777" w:rsidTr="2D440B3A">
        <w:trPr>
          <w:trHeight w:val="290"/>
          <w:jc w:val="center"/>
        </w:trPr>
        <w:tc>
          <w:tcPr>
            <w:tcW w:w="4390" w:type="dxa"/>
            <w:shd w:val="clear" w:color="auto" w:fill="auto"/>
            <w:noWrap/>
            <w:vAlign w:val="bottom"/>
            <w:hideMark/>
          </w:tcPr>
          <w:p w14:paraId="7605BCBB" w14:textId="77777777" w:rsidR="00C12B54" w:rsidRPr="002529D4" w:rsidRDefault="00C12B54" w:rsidP="000D201C">
            <w:pPr>
              <w:spacing w:after="0" w:line="252" w:lineRule="auto"/>
              <w:rPr>
                <w:rFonts w:eastAsia="Times New Roman"/>
                <w:color w:val="000000"/>
                <w:sz w:val="20"/>
                <w:szCs w:val="20"/>
              </w:rPr>
            </w:pPr>
            <w:r w:rsidRPr="002529D4">
              <w:rPr>
                <w:rFonts w:eastAsia="Times New Roman"/>
                <w:color w:val="000000"/>
                <w:sz w:val="20"/>
                <w:szCs w:val="20"/>
              </w:rPr>
              <w:t>Access to services</w:t>
            </w:r>
          </w:p>
        </w:tc>
        <w:tc>
          <w:tcPr>
            <w:tcW w:w="1559" w:type="dxa"/>
            <w:shd w:val="clear" w:color="auto" w:fill="auto"/>
            <w:noWrap/>
            <w:vAlign w:val="bottom"/>
            <w:hideMark/>
          </w:tcPr>
          <w:p w14:paraId="5526410D"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65.3%</w:t>
            </w:r>
          </w:p>
        </w:tc>
        <w:tc>
          <w:tcPr>
            <w:tcW w:w="1701" w:type="dxa"/>
            <w:shd w:val="clear" w:color="auto" w:fill="D9D9D9" w:themeFill="background1" w:themeFillShade="D9"/>
            <w:noWrap/>
            <w:vAlign w:val="bottom"/>
            <w:hideMark/>
          </w:tcPr>
          <w:p w14:paraId="379A77F3"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72.6%</w:t>
            </w:r>
          </w:p>
        </w:tc>
        <w:tc>
          <w:tcPr>
            <w:tcW w:w="1701" w:type="dxa"/>
            <w:shd w:val="clear" w:color="auto" w:fill="D9D9D9" w:themeFill="background1" w:themeFillShade="D9"/>
            <w:noWrap/>
            <w:vAlign w:val="bottom"/>
            <w:hideMark/>
          </w:tcPr>
          <w:p w14:paraId="3BF87228"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72.2%</w:t>
            </w:r>
          </w:p>
        </w:tc>
      </w:tr>
      <w:tr w:rsidR="00C12B54" w:rsidRPr="00583DA7" w14:paraId="33EFF775" w14:textId="77777777" w:rsidTr="2D440B3A">
        <w:trPr>
          <w:trHeight w:val="290"/>
          <w:jc w:val="center"/>
        </w:trPr>
        <w:tc>
          <w:tcPr>
            <w:tcW w:w="4390" w:type="dxa"/>
            <w:shd w:val="clear" w:color="auto" w:fill="auto"/>
            <w:noWrap/>
            <w:vAlign w:val="bottom"/>
            <w:hideMark/>
          </w:tcPr>
          <w:p w14:paraId="4995F258" w14:textId="77777777" w:rsidR="00C12B54" w:rsidRPr="002529D4" w:rsidRDefault="00C12B54" w:rsidP="000D201C">
            <w:pPr>
              <w:spacing w:after="0" w:line="252" w:lineRule="auto"/>
              <w:rPr>
                <w:rFonts w:eastAsia="Times New Roman"/>
                <w:color w:val="000000"/>
                <w:sz w:val="20"/>
                <w:szCs w:val="20"/>
              </w:rPr>
            </w:pPr>
            <w:r w:rsidRPr="002529D4">
              <w:rPr>
                <w:rFonts w:eastAsia="Times New Roman"/>
                <w:color w:val="000000"/>
                <w:sz w:val="20"/>
                <w:szCs w:val="20"/>
              </w:rPr>
              <w:t>Accommodation</w:t>
            </w:r>
          </w:p>
        </w:tc>
        <w:tc>
          <w:tcPr>
            <w:tcW w:w="1559" w:type="dxa"/>
            <w:shd w:val="clear" w:color="auto" w:fill="auto"/>
            <w:noWrap/>
            <w:vAlign w:val="bottom"/>
            <w:hideMark/>
          </w:tcPr>
          <w:p w14:paraId="187EF41C"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27.9%</w:t>
            </w:r>
          </w:p>
        </w:tc>
        <w:tc>
          <w:tcPr>
            <w:tcW w:w="1701" w:type="dxa"/>
            <w:shd w:val="clear" w:color="auto" w:fill="D9D9D9" w:themeFill="background1" w:themeFillShade="D9"/>
            <w:noWrap/>
            <w:vAlign w:val="bottom"/>
            <w:hideMark/>
          </w:tcPr>
          <w:p w14:paraId="59679D5A"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17.7%</w:t>
            </w:r>
          </w:p>
        </w:tc>
        <w:tc>
          <w:tcPr>
            <w:tcW w:w="1701" w:type="dxa"/>
            <w:shd w:val="clear" w:color="auto" w:fill="D9D9D9" w:themeFill="background1" w:themeFillShade="D9"/>
            <w:noWrap/>
            <w:vAlign w:val="bottom"/>
            <w:hideMark/>
          </w:tcPr>
          <w:p w14:paraId="770C74F6"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17.8%</w:t>
            </w:r>
          </w:p>
        </w:tc>
      </w:tr>
      <w:tr w:rsidR="00C12B54" w:rsidRPr="00583DA7" w14:paraId="290358CD" w14:textId="77777777" w:rsidTr="2D440B3A">
        <w:trPr>
          <w:trHeight w:val="290"/>
          <w:jc w:val="center"/>
        </w:trPr>
        <w:tc>
          <w:tcPr>
            <w:tcW w:w="4390" w:type="dxa"/>
            <w:shd w:val="clear" w:color="auto" w:fill="auto"/>
            <w:noWrap/>
            <w:vAlign w:val="bottom"/>
            <w:hideMark/>
          </w:tcPr>
          <w:p w14:paraId="17F5012C" w14:textId="65920559" w:rsidR="00C12B54" w:rsidRPr="002529D4" w:rsidRDefault="00C12B54" w:rsidP="000D201C">
            <w:pPr>
              <w:spacing w:after="0" w:line="252" w:lineRule="auto"/>
              <w:rPr>
                <w:rFonts w:eastAsia="Times New Roman"/>
                <w:color w:val="000000"/>
                <w:sz w:val="20"/>
                <w:szCs w:val="20"/>
              </w:rPr>
            </w:pPr>
            <w:r w:rsidRPr="002529D4">
              <w:rPr>
                <w:rFonts w:eastAsia="Times New Roman"/>
                <w:color w:val="000000"/>
                <w:sz w:val="20"/>
                <w:szCs w:val="20"/>
              </w:rPr>
              <w:t>Legal proceedings in the name of the RP</w:t>
            </w:r>
            <w:r w:rsidR="00B52AE3">
              <w:rPr>
                <w:rFonts w:eastAsia="Times New Roman"/>
                <w:color w:val="000000"/>
                <w:sz w:val="20"/>
                <w:szCs w:val="20"/>
              </w:rPr>
              <w:t xml:space="preserve"> (s40)</w:t>
            </w:r>
          </w:p>
        </w:tc>
        <w:tc>
          <w:tcPr>
            <w:tcW w:w="1559" w:type="dxa"/>
            <w:shd w:val="clear" w:color="auto" w:fill="auto"/>
            <w:noWrap/>
            <w:vAlign w:val="bottom"/>
            <w:hideMark/>
          </w:tcPr>
          <w:p w14:paraId="2D3ABB45"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0.2%</w:t>
            </w:r>
          </w:p>
        </w:tc>
        <w:tc>
          <w:tcPr>
            <w:tcW w:w="1701" w:type="dxa"/>
            <w:shd w:val="clear" w:color="auto" w:fill="auto"/>
            <w:noWrap/>
            <w:vAlign w:val="bottom"/>
            <w:hideMark/>
          </w:tcPr>
          <w:p w14:paraId="412F0814"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0.6%</w:t>
            </w:r>
          </w:p>
        </w:tc>
        <w:tc>
          <w:tcPr>
            <w:tcW w:w="1701" w:type="dxa"/>
            <w:shd w:val="clear" w:color="auto" w:fill="auto"/>
            <w:noWrap/>
            <w:vAlign w:val="bottom"/>
            <w:hideMark/>
          </w:tcPr>
          <w:p w14:paraId="4455C214"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2.2%</w:t>
            </w:r>
          </w:p>
        </w:tc>
      </w:tr>
      <w:tr w:rsidR="00C12B54" w:rsidRPr="00583DA7" w14:paraId="1DE5621B" w14:textId="77777777" w:rsidTr="2D440B3A">
        <w:trPr>
          <w:trHeight w:val="290"/>
          <w:jc w:val="center"/>
        </w:trPr>
        <w:tc>
          <w:tcPr>
            <w:tcW w:w="4390" w:type="dxa"/>
            <w:shd w:val="clear" w:color="auto" w:fill="auto"/>
            <w:noWrap/>
            <w:vAlign w:val="bottom"/>
            <w:hideMark/>
          </w:tcPr>
          <w:p w14:paraId="00727AA8" w14:textId="77777777" w:rsidR="00C12B54" w:rsidRPr="002529D4" w:rsidRDefault="00C12B54" w:rsidP="000D201C">
            <w:pPr>
              <w:spacing w:after="0" w:line="252" w:lineRule="auto"/>
              <w:rPr>
                <w:rFonts w:eastAsia="Times New Roman"/>
                <w:color w:val="000000"/>
                <w:sz w:val="20"/>
                <w:szCs w:val="20"/>
              </w:rPr>
            </w:pPr>
            <w:r w:rsidRPr="002529D4">
              <w:rPr>
                <w:rFonts w:eastAsia="Times New Roman"/>
                <w:color w:val="000000" w:themeColor="text1"/>
                <w:sz w:val="20"/>
                <w:szCs w:val="20"/>
              </w:rPr>
              <w:t>Medical Treatment</w:t>
            </w:r>
          </w:p>
        </w:tc>
        <w:tc>
          <w:tcPr>
            <w:tcW w:w="1559" w:type="dxa"/>
            <w:shd w:val="clear" w:color="auto" w:fill="auto"/>
            <w:noWrap/>
            <w:vAlign w:val="bottom"/>
            <w:hideMark/>
          </w:tcPr>
          <w:p w14:paraId="42D82BC3"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3.8%</w:t>
            </w:r>
          </w:p>
        </w:tc>
        <w:tc>
          <w:tcPr>
            <w:tcW w:w="1701" w:type="dxa"/>
            <w:shd w:val="clear" w:color="auto" w:fill="auto"/>
            <w:noWrap/>
            <w:vAlign w:val="bottom"/>
            <w:hideMark/>
          </w:tcPr>
          <w:p w14:paraId="7A13C289"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4.5%</w:t>
            </w:r>
          </w:p>
        </w:tc>
        <w:tc>
          <w:tcPr>
            <w:tcW w:w="1701" w:type="dxa"/>
            <w:shd w:val="clear" w:color="auto" w:fill="auto"/>
            <w:noWrap/>
            <w:vAlign w:val="bottom"/>
            <w:hideMark/>
          </w:tcPr>
          <w:p w14:paraId="631B003F"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1.7%</w:t>
            </w:r>
          </w:p>
        </w:tc>
      </w:tr>
      <w:tr w:rsidR="00C12B54" w:rsidRPr="00583DA7" w14:paraId="2E904603" w14:textId="77777777" w:rsidTr="2D440B3A">
        <w:trPr>
          <w:trHeight w:val="290"/>
          <w:jc w:val="center"/>
        </w:trPr>
        <w:tc>
          <w:tcPr>
            <w:tcW w:w="4390" w:type="dxa"/>
            <w:shd w:val="clear" w:color="auto" w:fill="auto"/>
            <w:noWrap/>
            <w:vAlign w:val="bottom"/>
            <w:hideMark/>
          </w:tcPr>
          <w:p w14:paraId="03F16AE5" w14:textId="77777777" w:rsidR="00C12B54" w:rsidRPr="002529D4" w:rsidRDefault="00C12B54" w:rsidP="000D201C">
            <w:pPr>
              <w:spacing w:after="0" w:line="252" w:lineRule="auto"/>
              <w:rPr>
                <w:rFonts w:eastAsia="Times New Roman"/>
                <w:color w:val="000000"/>
                <w:sz w:val="20"/>
                <w:szCs w:val="20"/>
              </w:rPr>
            </w:pPr>
            <w:r w:rsidRPr="002529D4">
              <w:rPr>
                <w:rFonts w:eastAsia="Times New Roman"/>
                <w:color w:val="000000"/>
                <w:sz w:val="20"/>
                <w:szCs w:val="20"/>
              </w:rPr>
              <w:t>Other personal matter specified on order</w:t>
            </w:r>
          </w:p>
        </w:tc>
        <w:tc>
          <w:tcPr>
            <w:tcW w:w="1559" w:type="dxa"/>
            <w:shd w:val="clear" w:color="auto" w:fill="auto"/>
            <w:noWrap/>
            <w:vAlign w:val="bottom"/>
            <w:hideMark/>
          </w:tcPr>
          <w:p w14:paraId="5F9E98CC"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0.2%</w:t>
            </w:r>
          </w:p>
        </w:tc>
        <w:tc>
          <w:tcPr>
            <w:tcW w:w="1701" w:type="dxa"/>
            <w:shd w:val="clear" w:color="auto" w:fill="auto"/>
            <w:noWrap/>
            <w:vAlign w:val="bottom"/>
            <w:hideMark/>
          </w:tcPr>
          <w:p w14:paraId="6258C07F"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0.6%</w:t>
            </w:r>
          </w:p>
        </w:tc>
        <w:tc>
          <w:tcPr>
            <w:tcW w:w="1701" w:type="dxa"/>
            <w:shd w:val="clear" w:color="auto" w:fill="auto"/>
            <w:noWrap/>
            <w:vAlign w:val="bottom"/>
            <w:hideMark/>
          </w:tcPr>
          <w:p w14:paraId="01DDA1AE"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0.4%</w:t>
            </w:r>
          </w:p>
        </w:tc>
      </w:tr>
      <w:tr w:rsidR="00C12B54" w:rsidRPr="00583DA7" w14:paraId="436C912F" w14:textId="77777777" w:rsidTr="2D440B3A">
        <w:trPr>
          <w:trHeight w:val="290"/>
          <w:jc w:val="center"/>
        </w:trPr>
        <w:tc>
          <w:tcPr>
            <w:tcW w:w="4390" w:type="dxa"/>
            <w:shd w:val="clear" w:color="auto" w:fill="auto"/>
            <w:noWrap/>
            <w:vAlign w:val="bottom"/>
            <w:hideMark/>
          </w:tcPr>
          <w:p w14:paraId="6FDAA49A" w14:textId="77777777" w:rsidR="00C12B54" w:rsidRPr="002529D4" w:rsidRDefault="00C12B54" w:rsidP="000D201C">
            <w:pPr>
              <w:spacing w:after="0" w:line="252" w:lineRule="auto"/>
              <w:rPr>
                <w:rFonts w:eastAsia="Times New Roman"/>
                <w:color w:val="000000"/>
                <w:sz w:val="20"/>
                <w:szCs w:val="20"/>
              </w:rPr>
            </w:pPr>
            <w:r w:rsidRPr="002529D4">
              <w:rPr>
                <w:rFonts w:eastAsia="Times New Roman"/>
                <w:color w:val="000000"/>
                <w:sz w:val="20"/>
                <w:szCs w:val="20"/>
              </w:rPr>
              <w:t>(blank)</w:t>
            </w:r>
          </w:p>
        </w:tc>
        <w:tc>
          <w:tcPr>
            <w:tcW w:w="1559" w:type="dxa"/>
            <w:shd w:val="clear" w:color="auto" w:fill="auto"/>
            <w:noWrap/>
            <w:vAlign w:val="bottom"/>
            <w:hideMark/>
          </w:tcPr>
          <w:p w14:paraId="31E98BAD"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0.3%</w:t>
            </w:r>
          </w:p>
        </w:tc>
        <w:tc>
          <w:tcPr>
            <w:tcW w:w="1701" w:type="dxa"/>
            <w:shd w:val="clear" w:color="auto" w:fill="auto"/>
            <w:noWrap/>
            <w:vAlign w:val="bottom"/>
            <w:hideMark/>
          </w:tcPr>
          <w:p w14:paraId="67A03CB1"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0.2%</w:t>
            </w:r>
          </w:p>
        </w:tc>
        <w:tc>
          <w:tcPr>
            <w:tcW w:w="1701" w:type="dxa"/>
            <w:shd w:val="clear" w:color="auto" w:fill="auto"/>
            <w:noWrap/>
            <w:vAlign w:val="bottom"/>
            <w:hideMark/>
          </w:tcPr>
          <w:p w14:paraId="09455222" w14:textId="77777777" w:rsidR="00C12B54" w:rsidRPr="002529D4" w:rsidRDefault="00C12B54" w:rsidP="000D201C">
            <w:pPr>
              <w:spacing w:after="0" w:line="252" w:lineRule="auto"/>
              <w:jc w:val="center"/>
              <w:rPr>
                <w:rFonts w:eastAsia="Times New Roman"/>
                <w:color w:val="000000"/>
                <w:sz w:val="20"/>
                <w:szCs w:val="20"/>
              </w:rPr>
            </w:pPr>
            <w:r w:rsidRPr="002529D4">
              <w:rPr>
                <w:rFonts w:eastAsia="Times New Roman"/>
                <w:color w:val="000000"/>
                <w:sz w:val="20"/>
                <w:szCs w:val="20"/>
              </w:rPr>
              <w:t>1.3%</w:t>
            </w:r>
          </w:p>
        </w:tc>
      </w:tr>
    </w:tbl>
    <w:p w14:paraId="370A7FB5" w14:textId="459ED62B" w:rsidR="00C12B54" w:rsidRDefault="00C12B54" w:rsidP="00A55EAB">
      <w:pPr>
        <w:spacing w:after="0"/>
        <w:jc w:val="center"/>
        <w:rPr>
          <w:color w:val="000000"/>
          <w:sz w:val="20"/>
          <w:szCs w:val="20"/>
        </w:rPr>
      </w:pPr>
      <w:r w:rsidRPr="002529D4">
        <w:rPr>
          <w:b/>
          <w:bCs/>
          <w:color w:val="000000"/>
          <w:sz w:val="20"/>
          <w:szCs w:val="20"/>
        </w:rPr>
        <w:t xml:space="preserve">Table </w:t>
      </w:r>
      <w:r w:rsidR="00614787" w:rsidRPr="002529D4">
        <w:rPr>
          <w:b/>
          <w:bCs/>
          <w:color w:val="000000"/>
          <w:sz w:val="20"/>
          <w:szCs w:val="20"/>
        </w:rPr>
        <w:t>8</w:t>
      </w:r>
      <w:r w:rsidR="007D6522">
        <w:rPr>
          <w:b/>
          <w:bCs/>
          <w:color w:val="000000"/>
          <w:sz w:val="20"/>
          <w:szCs w:val="20"/>
        </w:rPr>
        <w:t>:</w:t>
      </w:r>
      <w:r w:rsidRPr="002529D4">
        <w:rPr>
          <w:color w:val="000000"/>
          <w:sz w:val="20"/>
          <w:szCs w:val="20"/>
        </w:rPr>
        <w:t xml:space="preserve"> Decision types by reappointment cohort</w:t>
      </w:r>
    </w:p>
    <w:p w14:paraId="28D20F1C" w14:textId="64E2D1F4" w:rsidR="00C12B54" w:rsidRDefault="00C12B54" w:rsidP="008A6FB1">
      <w:pPr>
        <w:pStyle w:val="elementtoproof"/>
        <w:spacing w:after="120" w:afterAutospacing="0" w:line="252" w:lineRule="auto"/>
        <w:rPr>
          <w:rFonts w:ascii="Arial" w:hAnsi="Arial" w:cs="Arial"/>
          <w:color w:val="000000"/>
          <w:sz w:val="22"/>
          <w:szCs w:val="22"/>
        </w:rPr>
      </w:pPr>
      <w:r>
        <w:rPr>
          <w:rFonts w:ascii="Arial" w:hAnsi="Arial" w:cs="Arial"/>
          <w:color w:val="000000"/>
          <w:sz w:val="22"/>
          <w:szCs w:val="22"/>
        </w:rPr>
        <w:t xml:space="preserve">Table </w:t>
      </w:r>
      <w:r w:rsidR="00614787">
        <w:rPr>
          <w:rFonts w:ascii="Arial" w:hAnsi="Arial" w:cs="Arial"/>
          <w:color w:val="000000"/>
          <w:sz w:val="22"/>
          <w:szCs w:val="22"/>
        </w:rPr>
        <w:t>9</w:t>
      </w:r>
      <w:r>
        <w:rPr>
          <w:rFonts w:ascii="Arial" w:hAnsi="Arial" w:cs="Arial"/>
          <w:color w:val="000000"/>
          <w:sz w:val="22"/>
          <w:szCs w:val="22"/>
        </w:rPr>
        <w:t xml:space="preserve"> shows</w:t>
      </w:r>
      <w:r w:rsidRPr="00B7316B">
        <w:rPr>
          <w:rFonts w:ascii="Arial" w:hAnsi="Arial" w:cs="Arial"/>
          <w:color w:val="000000"/>
          <w:sz w:val="22"/>
          <w:szCs w:val="22"/>
        </w:rPr>
        <w:t xml:space="preserve"> the number and proportion of people by reappointment cohort who had not had a decision recorded in relation to them </w:t>
      </w:r>
      <w:r>
        <w:rPr>
          <w:rFonts w:ascii="Arial" w:hAnsi="Arial" w:cs="Arial"/>
          <w:color w:val="000000"/>
          <w:sz w:val="22"/>
          <w:szCs w:val="22"/>
        </w:rPr>
        <w:t xml:space="preserve">between July 2023 and </w:t>
      </w:r>
      <w:r w:rsidRPr="00B7316B">
        <w:rPr>
          <w:rFonts w:ascii="Arial" w:hAnsi="Arial" w:cs="Arial"/>
          <w:color w:val="000000"/>
          <w:sz w:val="22"/>
          <w:szCs w:val="22"/>
        </w:rPr>
        <w:t xml:space="preserve">December 2024. Note that the comparison with the one order cohort may not be fair, as that one order may </w:t>
      </w:r>
      <w:r>
        <w:rPr>
          <w:rFonts w:ascii="Arial" w:hAnsi="Arial" w:cs="Arial"/>
          <w:color w:val="000000"/>
          <w:sz w:val="22"/>
          <w:szCs w:val="22"/>
        </w:rPr>
        <w:t>still have effect after December 2024, which means decisions may be pending.</w:t>
      </w:r>
    </w:p>
    <w:p w14:paraId="42717C15" w14:textId="77777777" w:rsidR="00803BCD" w:rsidRPr="00B7316B" w:rsidRDefault="00803BCD" w:rsidP="00803BCD">
      <w:pPr>
        <w:pStyle w:val="elementtoproof"/>
        <w:spacing w:before="0" w:beforeAutospacing="0" w:after="0" w:afterAutospacing="0" w:line="252" w:lineRule="auto"/>
        <w:rPr>
          <w:rFonts w:ascii="Arial" w:hAnsi="Arial" w:cs="Arial"/>
          <w:color w:val="000000"/>
          <w:sz w:val="22"/>
          <w:szCs w:val="22"/>
        </w:rPr>
      </w:pPr>
    </w:p>
    <w:tbl>
      <w:tblPr>
        <w:tblW w:w="56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26"/>
        <w:gridCol w:w="1134"/>
        <w:gridCol w:w="1134"/>
      </w:tblGrid>
      <w:tr w:rsidR="00C12B54" w:rsidRPr="00583DA7" w14:paraId="7347605F" w14:textId="77777777" w:rsidTr="005402B2">
        <w:trPr>
          <w:trHeight w:val="290"/>
          <w:jc w:val="center"/>
        </w:trPr>
        <w:tc>
          <w:tcPr>
            <w:tcW w:w="3426" w:type="dxa"/>
            <w:shd w:val="clear" w:color="auto" w:fill="C1E4F5" w:themeFill="accent1" w:themeFillTint="33"/>
            <w:noWrap/>
            <w:vAlign w:val="center"/>
            <w:hideMark/>
          </w:tcPr>
          <w:p w14:paraId="1D9A5C2C" w14:textId="77777777" w:rsidR="00C12B54" w:rsidRPr="00513C4B" w:rsidRDefault="00C12B54" w:rsidP="005402B2">
            <w:pPr>
              <w:spacing w:after="0"/>
              <w:jc w:val="center"/>
              <w:rPr>
                <w:rFonts w:eastAsia="Times New Roman"/>
                <w:b/>
                <w:bCs/>
              </w:rPr>
            </w:pPr>
          </w:p>
        </w:tc>
        <w:tc>
          <w:tcPr>
            <w:tcW w:w="1134" w:type="dxa"/>
            <w:shd w:val="clear" w:color="auto" w:fill="C1E4F5" w:themeFill="accent1" w:themeFillTint="33"/>
            <w:noWrap/>
            <w:vAlign w:val="center"/>
            <w:hideMark/>
          </w:tcPr>
          <w:p w14:paraId="45CEC3E6" w14:textId="77777777" w:rsidR="00C12B54" w:rsidRPr="00513C4B" w:rsidRDefault="00C12B54" w:rsidP="005402B2">
            <w:pPr>
              <w:spacing w:after="0"/>
              <w:jc w:val="center"/>
              <w:rPr>
                <w:rFonts w:eastAsia="Times New Roman"/>
                <w:b/>
                <w:bCs/>
                <w:color w:val="000000"/>
                <w:sz w:val="20"/>
                <w:szCs w:val="20"/>
              </w:rPr>
            </w:pPr>
            <w:r w:rsidRPr="00513C4B">
              <w:rPr>
                <w:rFonts w:eastAsia="Times New Roman"/>
                <w:b/>
                <w:bCs/>
                <w:color w:val="000000"/>
                <w:sz w:val="20"/>
                <w:szCs w:val="20"/>
              </w:rPr>
              <w:t>People</w:t>
            </w:r>
          </w:p>
        </w:tc>
        <w:tc>
          <w:tcPr>
            <w:tcW w:w="1134" w:type="dxa"/>
            <w:shd w:val="clear" w:color="auto" w:fill="C1E4F5" w:themeFill="accent1" w:themeFillTint="33"/>
            <w:noWrap/>
            <w:vAlign w:val="center"/>
            <w:hideMark/>
          </w:tcPr>
          <w:p w14:paraId="283E2613" w14:textId="2D9A85E4" w:rsidR="00C12B54" w:rsidRPr="00513C4B" w:rsidRDefault="00511D95" w:rsidP="005402B2">
            <w:pPr>
              <w:spacing w:after="0" w:line="360" w:lineRule="auto"/>
              <w:jc w:val="center"/>
              <w:rPr>
                <w:rFonts w:eastAsia="Times New Roman"/>
                <w:b/>
                <w:bCs/>
                <w:color w:val="000000"/>
                <w:sz w:val="20"/>
                <w:szCs w:val="20"/>
              </w:rPr>
            </w:pPr>
            <w:r>
              <w:rPr>
                <w:rFonts w:eastAsia="Times New Roman"/>
                <w:b/>
                <w:bCs/>
                <w:color w:val="000000"/>
                <w:sz w:val="20"/>
                <w:szCs w:val="20"/>
              </w:rPr>
              <w:t>%</w:t>
            </w:r>
          </w:p>
        </w:tc>
      </w:tr>
      <w:tr w:rsidR="00C12B54" w:rsidRPr="00583DA7" w14:paraId="76624030" w14:textId="77777777" w:rsidTr="00513C4B">
        <w:trPr>
          <w:trHeight w:val="290"/>
          <w:jc w:val="center"/>
        </w:trPr>
        <w:tc>
          <w:tcPr>
            <w:tcW w:w="3426" w:type="dxa"/>
            <w:shd w:val="clear" w:color="auto" w:fill="auto"/>
            <w:noWrap/>
            <w:vAlign w:val="bottom"/>
            <w:hideMark/>
          </w:tcPr>
          <w:p w14:paraId="14490291" w14:textId="77777777" w:rsidR="00C12B54" w:rsidRPr="00513C4B" w:rsidRDefault="00C12B54" w:rsidP="000D201C">
            <w:pPr>
              <w:spacing w:after="0"/>
              <w:rPr>
                <w:rFonts w:eastAsia="Times New Roman"/>
                <w:color w:val="000000"/>
                <w:sz w:val="20"/>
                <w:szCs w:val="20"/>
              </w:rPr>
            </w:pPr>
            <w:r w:rsidRPr="00513C4B">
              <w:rPr>
                <w:rFonts w:eastAsia="Times New Roman"/>
                <w:color w:val="000000"/>
                <w:sz w:val="20"/>
                <w:szCs w:val="20"/>
              </w:rPr>
              <w:t>6+orders</w:t>
            </w:r>
          </w:p>
        </w:tc>
        <w:tc>
          <w:tcPr>
            <w:tcW w:w="1134" w:type="dxa"/>
            <w:shd w:val="clear" w:color="auto" w:fill="auto"/>
            <w:noWrap/>
            <w:vAlign w:val="bottom"/>
            <w:hideMark/>
          </w:tcPr>
          <w:p w14:paraId="4FF43770"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5</w:t>
            </w:r>
          </w:p>
        </w:tc>
        <w:tc>
          <w:tcPr>
            <w:tcW w:w="1134" w:type="dxa"/>
            <w:shd w:val="clear" w:color="auto" w:fill="auto"/>
            <w:noWrap/>
            <w:vAlign w:val="bottom"/>
            <w:hideMark/>
          </w:tcPr>
          <w:p w14:paraId="66FF9775"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12%</w:t>
            </w:r>
          </w:p>
        </w:tc>
      </w:tr>
      <w:tr w:rsidR="00C12B54" w:rsidRPr="00583DA7" w14:paraId="6016C390" w14:textId="77777777" w:rsidTr="00513C4B">
        <w:trPr>
          <w:trHeight w:val="290"/>
          <w:jc w:val="center"/>
        </w:trPr>
        <w:tc>
          <w:tcPr>
            <w:tcW w:w="3426" w:type="dxa"/>
            <w:shd w:val="clear" w:color="auto" w:fill="auto"/>
            <w:noWrap/>
            <w:vAlign w:val="bottom"/>
            <w:hideMark/>
          </w:tcPr>
          <w:p w14:paraId="324565BA" w14:textId="77777777" w:rsidR="00C12B54" w:rsidRPr="00513C4B" w:rsidRDefault="00C12B54" w:rsidP="000D201C">
            <w:pPr>
              <w:spacing w:after="0"/>
              <w:rPr>
                <w:rFonts w:eastAsia="Times New Roman"/>
                <w:color w:val="000000"/>
                <w:sz w:val="20"/>
                <w:szCs w:val="20"/>
              </w:rPr>
            </w:pPr>
            <w:r w:rsidRPr="00513C4B">
              <w:rPr>
                <w:rFonts w:eastAsia="Times New Roman"/>
                <w:color w:val="000000"/>
                <w:sz w:val="20"/>
                <w:szCs w:val="20"/>
              </w:rPr>
              <w:t>3-5 orders</w:t>
            </w:r>
          </w:p>
        </w:tc>
        <w:tc>
          <w:tcPr>
            <w:tcW w:w="1134" w:type="dxa"/>
            <w:shd w:val="clear" w:color="auto" w:fill="auto"/>
            <w:noWrap/>
            <w:vAlign w:val="bottom"/>
            <w:hideMark/>
          </w:tcPr>
          <w:p w14:paraId="2B5C66D0"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19</w:t>
            </w:r>
          </w:p>
        </w:tc>
        <w:tc>
          <w:tcPr>
            <w:tcW w:w="1134" w:type="dxa"/>
            <w:shd w:val="clear" w:color="auto" w:fill="auto"/>
            <w:noWrap/>
            <w:vAlign w:val="bottom"/>
            <w:hideMark/>
          </w:tcPr>
          <w:p w14:paraId="12E11607"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9%</w:t>
            </w:r>
          </w:p>
        </w:tc>
      </w:tr>
      <w:tr w:rsidR="00C12B54" w:rsidRPr="00583DA7" w14:paraId="5EF7B515" w14:textId="77777777" w:rsidTr="00513C4B">
        <w:trPr>
          <w:trHeight w:val="290"/>
          <w:jc w:val="center"/>
        </w:trPr>
        <w:tc>
          <w:tcPr>
            <w:tcW w:w="3426" w:type="dxa"/>
            <w:shd w:val="clear" w:color="auto" w:fill="auto"/>
            <w:noWrap/>
            <w:vAlign w:val="bottom"/>
            <w:hideMark/>
          </w:tcPr>
          <w:p w14:paraId="64594DEB" w14:textId="77777777" w:rsidR="00C12B54" w:rsidRPr="00513C4B" w:rsidRDefault="00C12B54" w:rsidP="000D201C">
            <w:pPr>
              <w:spacing w:after="0"/>
              <w:rPr>
                <w:rFonts w:eastAsia="Times New Roman"/>
                <w:color w:val="000000"/>
                <w:sz w:val="20"/>
                <w:szCs w:val="20"/>
              </w:rPr>
            </w:pPr>
            <w:r w:rsidRPr="00513C4B">
              <w:rPr>
                <w:rFonts w:eastAsia="Times New Roman"/>
                <w:color w:val="000000"/>
                <w:sz w:val="20"/>
                <w:szCs w:val="20"/>
              </w:rPr>
              <w:t>2 orders</w:t>
            </w:r>
          </w:p>
        </w:tc>
        <w:tc>
          <w:tcPr>
            <w:tcW w:w="1134" w:type="dxa"/>
            <w:shd w:val="clear" w:color="auto" w:fill="auto"/>
            <w:noWrap/>
            <w:vAlign w:val="bottom"/>
            <w:hideMark/>
          </w:tcPr>
          <w:p w14:paraId="510F0BB5"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17</w:t>
            </w:r>
          </w:p>
        </w:tc>
        <w:tc>
          <w:tcPr>
            <w:tcW w:w="1134" w:type="dxa"/>
            <w:shd w:val="clear" w:color="auto" w:fill="auto"/>
            <w:noWrap/>
            <w:vAlign w:val="bottom"/>
            <w:hideMark/>
          </w:tcPr>
          <w:p w14:paraId="494108B4"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13%</w:t>
            </w:r>
          </w:p>
        </w:tc>
      </w:tr>
      <w:tr w:rsidR="00C12B54" w:rsidRPr="00583DA7" w14:paraId="428C304C" w14:textId="77777777" w:rsidTr="00513C4B">
        <w:trPr>
          <w:trHeight w:val="290"/>
          <w:jc w:val="center"/>
        </w:trPr>
        <w:tc>
          <w:tcPr>
            <w:tcW w:w="3426" w:type="dxa"/>
            <w:shd w:val="clear" w:color="auto" w:fill="auto"/>
            <w:noWrap/>
            <w:vAlign w:val="bottom"/>
            <w:hideMark/>
          </w:tcPr>
          <w:p w14:paraId="5108322A" w14:textId="1C5A63D6" w:rsidR="00C12B54" w:rsidRPr="00513C4B" w:rsidRDefault="00C12B54" w:rsidP="0005077C">
            <w:pPr>
              <w:spacing w:after="0"/>
              <w:rPr>
                <w:rFonts w:eastAsia="Times New Roman"/>
                <w:color w:val="000000"/>
                <w:sz w:val="20"/>
                <w:szCs w:val="20"/>
              </w:rPr>
            </w:pPr>
            <w:r w:rsidRPr="00513C4B">
              <w:rPr>
                <w:rFonts w:eastAsia="Times New Roman"/>
                <w:color w:val="000000"/>
                <w:sz w:val="20"/>
                <w:szCs w:val="20"/>
              </w:rPr>
              <w:t>1 order (includes open matters)</w:t>
            </w:r>
          </w:p>
        </w:tc>
        <w:tc>
          <w:tcPr>
            <w:tcW w:w="1134" w:type="dxa"/>
            <w:shd w:val="clear" w:color="auto" w:fill="auto"/>
            <w:noWrap/>
            <w:vAlign w:val="bottom"/>
            <w:hideMark/>
          </w:tcPr>
          <w:p w14:paraId="42794B20"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75</w:t>
            </w:r>
          </w:p>
        </w:tc>
        <w:tc>
          <w:tcPr>
            <w:tcW w:w="1134" w:type="dxa"/>
            <w:shd w:val="clear" w:color="auto" w:fill="auto"/>
            <w:noWrap/>
            <w:vAlign w:val="bottom"/>
            <w:hideMark/>
          </w:tcPr>
          <w:p w14:paraId="4243EA9C" w14:textId="77777777" w:rsidR="00C12B54" w:rsidRPr="00513C4B" w:rsidRDefault="00C12B54" w:rsidP="000D201C">
            <w:pPr>
              <w:spacing w:after="0"/>
              <w:jc w:val="center"/>
              <w:rPr>
                <w:rFonts w:eastAsia="Times New Roman"/>
                <w:color w:val="000000"/>
                <w:sz w:val="20"/>
                <w:szCs w:val="20"/>
              </w:rPr>
            </w:pPr>
            <w:r w:rsidRPr="00513C4B">
              <w:rPr>
                <w:rFonts w:eastAsia="Times New Roman"/>
                <w:color w:val="000000"/>
                <w:sz w:val="20"/>
                <w:szCs w:val="20"/>
              </w:rPr>
              <w:t>17%</w:t>
            </w:r>
          </w:p>
        </w:tc>
      </w:tr>
    </w:tbl>
    <w:p w14:paraId="1725B458" w14:textId="6C19558D" w:rsidR="00C12B54" w:rsidRPr="00511D95" w:rsidRDefault="00C12B54" w:rsidP="00551D86">
      <w:pPr>
        <w:spacing w:before="240"/>
        <w:jc w:val="center"/>
        <w:rPr>
          <w:sz w:val="20"/>
          <w:szCs w:val="20"/>
        </w:rPr>
      </w:pPr>
      <w:r w:rsidRPr="00511D95">
        <w:rPr>
          <w:b/>
          <w:bCs/>
          <w:color w:val="000000"/>
          <w:sz w:val="20"/>
          <w:szCs w:val="20"/>
        </w:rPr>
        <w:t xml:space="preserve">Table </w:t>
      </w:r>
      <w:r w:rsidR="00614787" w:rsidRPr="00511D95">
        <w:rPr>
          <w:b/>
          <w:bCs/>
          <w:color w:val="000000"/>
          <w:sz w:val="20"/>
          <w:szCs w:val="20"/>
        </w:rPr>
        <w:t>9</w:t>
      </w:r>
      <w:r w:rsidR="00260DE5">
        <w:rPr>
          <w:b/>
          <w:bCs/>
          <w:color w:val="000000"/>
          <w:sz w:val="20"/>
          <w:szCs w:val="20"/>
        </w:rPr>
        <w:t>:</w:t>
      </w:r>
      <w:r w:rsidRPr="00511D95">
        <w:rPr>
          <w:color w:val="000000"/>
          <w:sz w:val="20"/>
          <w:szCs w:val="20"/>
        </w:rPr>
        <w:t xml:space="preserve"> Number </w:t>
      </w:r>
      <w:r w:rsidR="002129EE" w:rsidRPr="00511D95">
        <w:rPr>
          <w:color w:val="000000"/>
          <w:sz w:val="20"/>
          <w:szCs w:val="20"/>
        </w:rPr>
        <w:t xml:space="preserve">of </w:t>
      </w:r>
      <w:r w:rsidRPr="00511D95">
        <w:rPr>
          <w:color w:val="000000"/>
          <w:sz w:val="20"/>
          <w:szCs w:val="20"/>
        </w:rPr>
        <w:t>people with no decisions recorded, by reappointment cohort</w:t>
      </w:r>
    </w:p>
    <w:p w14:paraId="1C845A8E" w14:textId="3114A39B" w:rsidR="00C12B54" w:rsidRPr="008A1BCF" w:rsidRDefault="00551D86" w:rsidP="0016584F">
      <w:pPr>
        <w:pStyle w:val="Heading1"/>
      </w:pPr>
      <w:r>
        <w:br w:type="page"/>
      </w:r>
      <w:bookmarkStart w:id="21" w:name="_Toc200963484"/>
      <w:r w:rsidR="00C12B54">
        <w:lastRenderedPageBreak/>
        <w:t>Discussion</w:t>
      </w:r>
      <w:bookmarkEnd w:id="21"/>
    </w:p>
    <w:p w14:paraId="51163B9A" w14:textId="48EA719C" w:rsidR="00BF5FD3" w:rsidRDefault="00BF5FD3" w:rsidP="00BF5FD3">
      <w:r>
        <w:t xml:space="preserve">The increased rates of </w:t>
      </w:r>
      <w:r w:rsidR="001D70CF">
        <w:t xml:space="preserve">guardianship </w:t>
      </w:r>
      <w:r>
        <w:t>reappointment identified in this report are particularly notable in the way they defy the expectations set by international and local instruments</w:t>
      </w:r>
      <w:r w:rsidR="00745296">
        <w:t xml:space="preserve">. </w:t>
      </w:r>
      <w:r w:rsidR="004E78BA">
        <w:t>T</w:t>
      </w:r>
      <w:r>
        <w:t xml:space="preserve">he UN Convention on the Rights of Persons with Disabilities and the </w:t>
      </w:r>
      <w:r w:rsidRPr="00756610">
        <w:rPr>
          <w:i/>
        </w:rPr>
        <w:t>Guardianship and Administration Act 2019</w:t>
      </w:r>
      <w:r>
        <w:t xml:space="preserve"> (Vic) highlight the role of supported decision making in promoting personal autonomy. </w:t>
      </w:r>
      <w:r w:rsidR="004E78BA">
        <w:t>These</w:t>
      </w:r>
      <w:r w:rsidR="00493D73">
        <w:t xml:space="preserve"> instruments, alongside the </w:t>
      </w:r>
      <w:r w:rsidR="00493D73" w:rsidRPr="00551D86">
        <w:rPr>
          <w:i/>
          <w:iCs/>
        </w:rPr>
        <w:t>NDIS Act 2013</w:t>
      </w:r>
      <w:r w:rsidR="00493D73">
        <w:t xml:space="preserve"> </w:t>
      </w:r>
      <w:r w:rsidR="00551D86">
        <w:t xml:space="preserve">(Cth) </w:t>
      </w:r>
      <w:r w:rsidR="00B9490B">
        <w:t>and its objects</w:t>
      </w:r>
      <w:r w:rsidR="00BF0EFE">
        <w:t>,</w:t>
      </w:r>
      <w:r w:rsidR="00B9490B">
        <w:t xml:space="preserve"> centre on human rights and personal autonomy</w:t>
      </w:r>
      <w:r w:rsidR="0020704E">
        <w:t xml:space="preserve">. </w:t>
      </w:r>
    </w:p>
    <w:p w14:paraId="5CF960AE" w14:textId="61EC3603" w:rsidR="00BF5FD3" w:rsidRPr="000A140D" w:rsidRDefault="00BF5FD3" w:rsidP="00BF5FD3">
      <w:r>
        <w:t>In this policy context</w:t>
      </w:r>
      <w:r w:rsidR="007B60D5">
        <w:t xml:space="preserve"> that seeks to enable people with disability to exercise choice and control</w:t>
      </w:r>
      <w:r>
        <w:t xml:space="preserve">, the use of guardianship </w:t>
      </w:r>
      <w:r w:rsidR="003B0294">
        <w:t xml:space="preserve">is expected </w:t>
      </w:r>
      <w:r>
        <w:t>to</w:t>
      </w:r>
      <w:r w:rsidR="007B3BA9">
        <w:t xml:space="preserve"> </w:t>
      </w:r>
      <w:r>
        <w:t>decline</w:t>
      </w:r>
      <w:r w:rsidR="003B0294">
        <w:t xml:space="preserve">. </w:t>
      </w:r>
      <w:r w:rsidR="00FD20E6">
        <w:t xml:space="preserve">It is therefore concerning that the use of guardianship </w:t>
      </w:r>
      <w:r w:rsidR="007D6809">
        <w:t>appears to be increasing for a specific group of people for</w:t>
      </w:r>
      <w:r w:rsidR="007B3BA9">
        <w:t xml:space="preserve"> the period </w:t>
      </w:r>
      <w:r w:rsidR="00E271E2">
        <w:t>under review</w:t>
      </w:r>
      <w:r>
        <w:t>.</w:t>
      </w:r>
    </w:p>
    <w:p w14:paraId="13236CEB" w14:textId="58AD2690" w:rsidR="00BF5FD3" w:rsidRDefault="007B3BA9" w:rsidP="00511D95">
      <w:pPr>
        <w:spacing w:before="120" w:after="120" w:line="252" w:lineRule="auto"/>
        <w:rPr>
          <w:rStyle w:val="normaltextrun"/>
        </w:rPr>
      </w:pPr>
      <w:r>
        <w:rPr>
          <w:rStyle w:val="normaltextrun"/>
        </w:rPr>
        <w:t xml:space="preserve">While </w:t>
      </w:r>
      <w:r w:rsidR="00E271E2">
        <w:rPr>
          <w:rStyle w:val="normaltextrun"/>
        </w:rPr>
        <w:t xml:space="preserve">this report </w:t>
      </w:r>
      <w:r w:rsidR="008B4C8A">
        <w:rPr>
          <w:rStyle w:val="normaltextrun"/>
        </w:rPr>
        <w:t>explores correlations</w:t>
      </w:r>
      <w:r w:rsidR="00937A69">
        <w:rPr>
          <w:rStyle w:val="normaltextrun"/>
        </w:rPr>
        <w:t xml:space="preserve"> and cannot speak directly to the causes of </w:t>
      </w:r>
      <w:r w:rsidR="00E65BEC">
        <w:rPr>
          <w:rStyle w:val="normaltextrun"/>
        </w:rPr>
        <w:t>these longitudinal trends, the correlations alone are</w:t>
      </w:r>
      <w:r w:rsidR="00937A69">
        <w:rPr>
          <w:rStyle w:val="normaltextrun"/>
        </w:rPr>
        <w:t xml:space="preserve"> compelling</w:t>
      </w:r>
      <w:r w:rsidR="009804D9">
        <w:rPr>
          <w:rStyle w:val="normaltextrun"/>
        </w:rPr>
        <w:t xml:space="preserve"> and concerning</w:t>
      </w:r>
      <w:r w:rsidR="00701D30">
        <w:rPr>
          <w:rStyle w:val="normaltextrun"/>
        </w:rPr>
        <w:t xml:space="preserve"> and </w:t>
      </w:r>
      <w:r w:rsidR="00D602C3">
        <w:rPr>
          <w:rStyle w:val="normaltextrun"/>
        </w:rPr>
        <w:t>deserve further exploration</w:t>
      </w:r>
      <w:r w:rsidR="009804D9">
        <w:rPr>
          <w:rStyle w:val="normaltextrun"/>
        </w:rPr>
        <w:t>.</w:t>
      </w:r>
    </w:p>
    <w:p w14:paraId="77D31B21" w14:textId="5C6DCF5F" w:rsidR="00CB6E79" w:rsidRDefault="00C12B54" w:rsidP="00511D95">
      <w:pPr>
        <w:spacing w:before="120" w:after="120" w:line="252" w:lineRule="auto"/>
        <w:rPr>
          <w:rStyle w:val="normaltextrun"/>
        </w:rPr>
      </w:pPr>
      <w:r w:rsidRPr="00B7316B">
        <w:rPr>
          <w:rStyle w:val="normaltextrun"/>
        </w:rPr>
        <w:t>From a systemic perspective</w:t>
      </w:r>
      <w:r w:rsidR="00F26353">
        <w:rPr>
          <w:rStyle w:val="normaltextrun"/>
        </w:rPr>
        <w:t>,</w:t>
      </w:r>
      <w:r w:rsidRPr="00B7316B">
        <w:rPr>
          <w:rStyle w:val="normaltextrun"/>
        </w:rPr>
        <w:t xml:space="preserve"> the dominance of young people in the multiple reappointments cohort</w:t>
      </w:r>
      <w:r w:rsidR="00EE55DE">
        <w:rPr>
          <w:rStyle w:val="normaltextrun"/>
        </w:rPr>
        <w:t>, along with their boosted rate of reappointment since the NDIS roll-out,</w:t>
      </w:r>
      <w:r w:rsidRPr="00B7316B">
        <w:rPr>
          <w:rStyle w:val="normaltextrun"/>
        </w:rPr>
        <w:t xml:space="preserve"> </w:t>
      </w:r>
      <w:r w:rsidR="00772595">
        <w:rPr>
          <w:rStyle w:val="normaltextrun"/>
        </w:rPr>
        <w:t xml:space="preserve">strongly </w:t>
      </w:r>
      <w:r w:rsidRPr="00B7316B">
        <w:rPr>
          <w:rStyle w:val="normaltextrun"/>
        </w:rPr>
        <w:t>suggests that an independent substitute decision</w:t>
      </w:r>
      <w:r w:rsidR="001007F8">
        <w:rPr>
          <w:rStyle w:val="normaltextrun"/>
        </w:rPr>
        <w:t>-</w:t>
      </w:r>
      <w:r w:rsidRPr="00B7316B">
        <w:rPr>
          <w:rStyle w:val="normaltextrun"/>
        </w:rPr>
        <w:t>maker</w:t>
      </w:r>
      <w:r w:rsidR="00EE55DE">
        <w:rPr>
          <w:rStyle w:val="normaltextrun"/>
        </w:rPr>
        <w:t xml:space="preserve"> has become more necessary</w:t>
      </w:r>
      <w:r w:rsidR="002548BF">
        <w:rPr>
          <w:rStyle w:val="normaltextrun"/>
        </w:rPr>
        <w:t xml:space="preserve"> under the NDIS than it was before.</w:t>
      </w:r>
      <w:r w:rsidR="00772595">
        <w:rPr>
          <w:rStyle w:val="normaltextrun"/>
        </w:rPr>
        <w:t xml:space="preserve"> </w:t>
      </w:r>
      <w:r w:rsidR="00197843">
        <w:rPr>
          <w:rStyle w:val="normaltextrun"/>
        </w:rPr>
        <w:t>T</w:t>
      </w:r>
      <w:r w:rsidR="00A17EC2">
        <w:rPr>
          <w:rStyle w:val="normaltextrun"/>
        </w:rPr>
        <w:t xml:space="preserve">hree </w:t>
      </w:r>
      <w:r w:rsidR="00CB6E79">
        <w:rPr>
          <w:rStyle w:val="normaltextrun"/>
        </w:rPr>
        <w:t xml:space="preserve">possible </w:t>
      </w:r>
      <w:r w:rsidR="00943E71">
        <w:rPr>
          <w:rStyle w:val="normaltextrun"/>
        </w:rPr>
        <w:t>drivers of</w:t>
      </w:r>
      <w:r w:rsidR="0035493B">
        <w:rPr>
          <w:rStyle w:val="normaltextrun"/>
        </w:rPr>
        <w:t xml:space="preserve"> th</w:t>
      </w:r>
      <w:r w:rsidR="00943E71">
        <w:rPr>
          <w:rStyle w:val="normaltextrun"/>
        </w:rPr>
        <w:t>is trend are</w:t>
      </w:r>
      <w:r w:rsidR="00CB6E79">
        <w:rPr>
          <w:rStyle w:val="normaltextrun"/>
        </w:rPr>
        <w:t>:</w:t>
      </w:r>
    </w:p>
    <w:p w14:paraId="674E33FC" w14:textId="427FA873" w:rsidR="00713263" w:rsidRPr="00A55EAB" w:rsidRDefault="00915420" w:rsidP="00A55EAB">
      <w:pPr>
        <w:pStyle w:val="elementtoproof"/>
        <w:numPr>
          <w:ilvl w:val="0"/>
          <w:numId w:val="24"/>
        </w:numPr>
        <w:spacing w:before="120" w:beforeAutospacing="0" w:after="120" w:afterAutospacing="0" w:line="252" w:lineRule="auto"/>
        <w:rPr>
          <w:rFonts w:ascii="Arial" w:hAnsi="Arial" w:cs="Arial"/>
          <w:color w:val="000000"/>
          <w:sz w:val="22"/>
          <w:szCs w:val="22"/>
        </w:rPr>
      </w:pPr>
      <w:r w:rsidRPr="00B14307">
        <w:rPr>
          <w:rFonts w:ascii="Arial" w:hAnsi="Arial" w:cs="Arial"/>
          <w:color w:val="000000"/>
          <w:sz w:val="22"/>
          <w:szCs w:val="22"/>
        </w:rPr>
        <w:t>I</w:t>
      </w:r>
      <w:r w:rsidR="00B50A31" w:rsidRPr="00A55EAB">
        <w:rPr>
          <w:rFonts w:ascii="Arial" w:hAnsi="Arial" w:cs="Arial"/>
          <w:color w:val="000000"/>
          <w:sz w:val="22"/>
          <w:szCs w:val="22"/>
        </w:rPr>
        <w:t xml:space="preserve">nsufficient safeguarding for people </w:t>
      </w:r>
      <w:r w:rsidR="00EC10B3" w:rsidRPr="00A55EAB">
        <w:rPr>
          <w:rFonts w:ascii="Arial" w:hAnsi="Arial" w:cs="Arial"/>
          <w:color w:val="000000"/>
          <w:sz w:val="22"/>
          <w:szCs w:val="22"/>
        </w:rPr>
        <w:t>who do not have informal support</w:t>
      </w:r>
      <w:r w:rsidR="00504DE7" w:rsidRPr="00B14307">
        <w:rPr>
          <w:rFonts w:ascii="Arial" w:hAnsi="Arial" w:cs="Arial"/>
          <w:color w:val="000000"/>
          <w:sz w:val="22"/>
          <w:szCs w:val="22"/>
        </w:rPr>
        <w:t>s</w:t>
      </w:r>
      <w:r w:rsidR="00922ECA" w:rsidRPr="00B14307">
        <w:rPr>
          <w:rFonts w:ascii="Arial" w:hAnsi="Arial" w:cs="Arial"/>
          <w:color w:val="000000"/>
          <w:sz w:val="22"/>
          <w:szCs w:val="22"/>
        </w:rPr>
        <w:t xml:space="preserve"> </w:t>
      </w:r>
      <w:r w:rsidR="00D34AC9">
        <w:rPr>
          <w:rFonts w:ascii="Arial" w:hAnsi="Arial" w:cs="Arial"/>
          <w:color w:val="000000"/>
          <w:sz w:val="22"/>
          <w:szCs w:val="22"/>
        </w:rPr>
        <w:t>and lack</w:t>
      </w:r>
      <w:r w:rsidR="00922ECA" w:rsidRPr="00A55EAB">
        <w:rPr>
          <w:rFonts w:ascii="Arial" w:hAnsi="Arial" w:cs="Arial"/>
          <w:color w:val="000000"/>
          <w:sz w:val="22"/>
          <w:szCs w:val="22"/>
        </w:rPr>
        <w:t xml:space="preserve"> informal safeguards </w:t>
      </w:r>
      <w:r w:rsidR="00D34AC9">
        <w:rPr>
          <w:rFonts w:ascii="Arial" w:hAnsi="Arial" w:cs="Arial"/>
          <w:color w:val="000000"/>
          <w:sz w:val="22"/>
          <w:szCs w:val="22"/>
        </w:rPr>
        <w:t xml:space="preserve">developed </w:t>
      </w:r>
      <w:r w:rsidR="00922ECA" w:rsidRPr="00A55EAB">
        <w:rPr>
          <w:rFonts w:ascii="Arial" w:hAnsi="Arial" w:cs="Arial"/>
          <w:color w:val="000000"/>
          <w:sz w:val="22"/>
          <w:szCs w:val="22"/>
        </w:rPr>
        <w:t>through community building and peer support networks</w:t>
      </w:r>
    </w:p>
    <w:p w14:paraId="7F57DF7B" w14:textId="54D4C97A" w:rsidR="004013F5" w:rsidRPr="00767F61" w:rsidRDefault="00915420" w:rsidP="001925D0">
      <w:pPr>
        <w:pStyle w:val="elementtoproof"/>
        <w:numPr>
          <w:ilvl w:val="0"/>
          <w:numId w:val="24"/>
        </w:numPr>
        <w:spacing w:before="120" w:beforeAutospacing="0" w:after="120" w:afterAutospacing="0" w:line="252" w:lineRule="auto"/>
        <w:rPr>
          <w:rFonts w:ascii="Arial" w:hAnsi="Arial" w:cs="Arial"/>
          <w:color w:val="000000"/>
          <w:sz w:val="22"/>
          <w:szCs w:val="22"/>
        </w:rPr>
      </w:pPr>
      <w:r w:rsidRPr="00767F61">
        <w:rPr>
          <w:rFonts w:ascii="Arial" w:hAnsi="Arial" w:cs="Arial"/>
          <w:color w:val="000000"/>
          <w:sz w:val="22"/>
          <w:szCs w:val="22"/>
        </w:rPr>
        <w:t>I</w:t>
      </w:r>
      <w:r w:rsidR="004013F5" w:rsidRPr="00A55EAB">
        <w:rPr>
          <w:rFonts w:ascii="Arial" w:hAnsi="Arial" w:cs="Arial"/>
          <w:color w:val="000000"/>
          <w:sz w:val="22"/>
          <w:szCs w:val="22"/>
        </w:rPr>
        <w:t xml:space="preserve">nsufficient independent advocacy </w:t>
      </w:r>
      <w:r w:rsidR="008B19D6" w:rsidRPr="00A55EAB">
        <w:rPr>
          <w:rFonts w:ascii="Arial" w:hAnsi="Arial" w:cs="Arial"/>
          <w:color w:val="000000"/>
          <w:sz w:val="22"/>
          <w:szCs w:val="22"/>
        </w:rPr>
        <w:t xml:space="preserve">to ensure that people are receiving </w:t>
      </w:r>
      <w:r w:rsidR="00FF0AEC" w:rsidRPr="00A55EAB">
        <w:rPr>
          <w:rFonts w:ascii="Arial" w:hAnsi="Arial" w:cs="Arial"/>
          <w:color w:val="000000"/>
          <w:sz w:val="22"/>
          <w:szCs w:val="22"/>
        </w:rPr>
        <w:t>appropriate disability supports</w:t>
      </w:r>
    </w:p>
    <w:p w14:paraId="3B04701A" w14:textId="47C178F3" w:rsidR="00575BD3" w:rsidRPr="00A55EAB" w:rsidRDefault="007C2935" w:rsidP="00A55EAB">
      <w:pPr>
        <w:pStyle w:val="elementtoproof"/>
        <w:numPr>
          <w:ilvl w:val="0"/>
          <w:numId w:val="24"/>
        </w:numPr>
        <w:spacing w:before="120" w:beforeAutospacing="0" w:after="120" w:afterAutospacing="0" w:line="252" w:lineRule="auto"/>
        <w:rPr>
          <w:rFonts w:ascii="Arial" w:hAnsi="Arial" w:cs="Arial"/>
          <w:color w:val="000000"/>
          <w:sz w:val="22"/>
          <w:szCs w:val="22"/>
        </w:rPr>
      </w:pPr>
      <w:r w:rsidRPr="00A55EAB">
        <w:rPr>
          <w:rFonts w:ascii="Arial" w:hAnsi="Arial" w:cs="Arial"/>
          <w:color w:val="000000"/>
          <w:sz w:val="22"/>
          <w:szCs w:val="22"/>
        </w:rPr>
        <w:t>Insufficient supported decision</w:t>
      </w:r>
      <w:r w:rsidR="00F63728" w:rsidRPr="00A55EAB">
        <w:rPr>
          <w:rFonts w:ascii="Arial" w:hAnsi="Arial" w:cs="Arial"/>
          <w:color w:val="000000"/>
          <w:sz w:val="22"/>
          <w:szCs w:val="22"/>
        </w:rPr>
        <w:t>-</w:t>
      </w:r>
      <w:r w:rsidRPr="00A55EAB">
        <w:rPr>
          <w:rFonts w:ascii="Arial" w:hAnsi="Arial" w:cs="Arial"/>
          <w:color w:val="000000"/>
          <w:sz w:val="22"/>
          <w:szCs w:val="22"/>
        </w:rPr>
        <w:t>making opportunities</w:t>
      </w:r>
      <w:r w:rsidR="005D39CA" w:rsidRPr="00A55EAB">
        <w:rPr>
          <w:rFonts w:ascii="Arial" w:hAnsi="Arial" w:cs="Arial"/>
          <w:color w:val="000000"/>
          <w:sz w:val="22"/>
          <w:szCs w:val="22"/>
        </w:rPr>
        <w:t>, education</w:t>
      </w:r>
      <w:r w:rsidR="00C01B60" w:rsidRPr="00A55EAB">
        <w:rPr>
          <w:rFonts w:ascii="Arial" w:hAnsi="Arial" w:cs="Arial"/>
          <w:color w:val="000000"/>
          <w:sz w:val="22"/>
          <w:szCs w:val="22"/>
        </w:rPr>
        <w:t xml:space="preserve"> and</w:t>
      </w:r>
      <w:r w:rsidR="00F63728" w:rsidRPr="00A55EAB">
        <w:rPr>
          <w:rFonts w:ascii="Arial" w:hAnsi="Arial" w:cs="Arial"/>
          <w:color w:val="000000"/>
          <w:sz w:val="22"/>
          <w:szCs w:val="22"/>
        </w:rPr>
        <w:t xml:space="preserve"> </w:t>
      </w:r>
      <w:r w:rsidR="005D39CA" w:rsidRPr="00A55EAB">
        <w:rPr>
          <w:rFonts w:ascii="Arial" w:hAnsi="Arial" w:cs="Arial"/>
          <w:color w:val="000000"/>
          <w:sz w:val="22"/>
          <w:szCs w:val="22"/>
        </w:rPr>
        <w:t>training</w:t>
      </w:r>
    </w:p>
    <w:p w14:paraId="644D8AA2" w14:textId="64BD5C74" w:rsidR="006658CA" w:rsidRPr="00A55EAB" w:rsidRDefault="00915420" w:rsidP="00A55EAB">
      <w:pPr>
        <w:pStyle w:val="elementtoproof"/>
        <w:numPr>
          <w:ilvl w:val="0"/>
          <w:numId w:val="24"/>
        </w:numPr>
        <w:spacing w:before="120" w:beforeAutospacing="0" w:after="120" w:afterAutospacing="0" w:line="252" w:lineRule="auto"/>
        <w:rPr>
          <w:rFonts w:ascii="Arial" w:hAnsi="Arial" w:cs="Arial"/>
          <w:color w:val="000000"/>
          <w:sz w:val="22"/>
          <w:szCs w:val="22"/>
        </w:rPr>
      </w:pPr>
      <w:r w:rsidRPr="00A55EAB">
        <w:rPr>
          <w:rFonts w:ascii="Arial" w:hAnsi="Arial" w:cs="Arial"/>
          <w:color w:val="000000"/>
          <w:sz w:val="22"/>
          <w:szCs w:val="22"/>
        </w:rPr>
        <w:t>I</w:t>
      </w:r>
      <w:r w:rsidR="00DF4986" w:rsidRPr="00A55EAB">
        <w:rPr>
          <w:rFonts w:ascii="Arial" w:hAnsi="Arial" w:cs="Arial"/>
          <w:color w:val="000000"/>
          <w:sz w:val="22"/>
          <w:szCs w:val="22"/>
        </w:rPr>
        <w:t>nsufficient accommodations</w:t>
      </w:r>
      <w:r w:rsidR="00B868B8">
        <w:rPr>
          <w:rFonts w:ascii="Arial" w:hAnsi="Arial" w:cs="Arial"/>
          <w:color w:val="000000"/>
          <w:sz w:val="22"/>
          <w:szCs w:val="22"/>
        </w:rPr>
        <w:t xml:space="preserve"> </w:t>
      </w:r>
      <w:r w:rsidR="008F7A53" w:rsidRPr="00A55EAB">
        <w:rPr>
          <w:rFonts w:ascii="Arial" w:hAnsi="Arial" w:cs="Arial"/>
          <w:color w:val="000000"/>
          <w:sz w:val="22"/>
          <w:szCs w:val="22"/>
        </w:rPr>
        <w:t xml:space="preserve">built </w:t>
      </w:r>
      <w:r w:rsidR="00962DDD" w:rsidRPr="00A55EAB">
        <w:rPr>
          <w:rFonts w:ascii="Arial" w:hAnsi="Arial" w:cs="Arial"/>
          <w:color w:val="000000"/>
          <w:sz w:val="22"/>
          <w:szCs w:val="22"/>
        </w:rPr>
        <w:t>in</w:t>
      </w:r>
      <w:r w:rsidR="008F7A53" w:rsidRPr="00A55EAB">
        <w:rPr>
          <w:rFonts w:ascii="Arial" w:hAnsi="Arial" w:cs="Arial"/>
          <w:color w:val="000000"/>
          <w:sz w:val="22"/>
          <w:szCs w:val="22"/>
        </w:rPr>
        <w:t>to</w:t>
      </w:r>
      <w:r w:rsidR="00962DDD" w:rsidRPr="00A55EAB">
        <w:rPr>
          <w:rFonts w:ascii="Arial" w:hAnsi="Arial" w:cs="Arial"/>
          <w:color w:val="000000"/>
          <w:sz w:val="22"/>
          <w:szCs w:val="22"/>
        </w:rPr>
        <w:t xml:space="preserve"> </w:t>
      </w:r>
      <w:r w:rsidR="00974B7B" w:rsidRPr="00A55EAB">
        <w:rPr>
          <w:rFonts w:ascii="Arial" w:hAnsi="Arial" w:cs="Arial"/>
          <w:color w:val="000000"/>
          <w:sz w:val="22"/>
          <w:szCs w:val="22"/>
        </w:rPr>
        <w:t xml:space="preserve">NDIS </w:t>
      </w:r>
      <w:r w:rsidR="00962DDD" w:rsidRPr="00A55EAB">
        <w:rPr>
          <w:rFonts w:ascii="Arial" w:hAnsi="Arial" w:cs="Arial"/>
          <w:color w:val="000000"/>
          <w:sz w:val="22"/>
          <w:szCs w:val="22"/>
        </w:rPr>
        <w:t xml:space="preserve">administration </w:t>
      </w:r>
      <w:r w:rsidR="008F7A53" w:rsidRPr="00A55EAB">
        <w:rPr>
          <w:rFonts w:ascii="Arial" w:hAnsi="Arial" w:cs="Arial"/>
          <w:color w:val="000000"/>
          <w:sz w:val="22"/>
          <w:szCs w:val="22"/>
        </w:rPr>
        <w:t xml:space="preserve">policies and </w:t>
      </w:r>
      <w:r w:rsidR="00962DDD" w:rsidRPr="00A55EAB">
        <w:rPr>
          <w:rFonts w:ascii="Arial" w:hAnsi="Arial" w:cs="Arial"/>
          <w:color w:val="000000"/>
          <w:sz w:val="22"/>
          <w:szCs w:val="22"/>
        </w:rPr>
        <w:t xml:space="preserve">processes </w:t>
      </w:r>
      <w:r w:rsidR="00B0094A" w:rsidRPr="00A55EAB">
        <w:rPr>
          <w:rFonts w:ascii="Arial" w:hAnsi="Arial" w:cs="Arial"/>
          <w:color w:val="000000"/>
          <w:sz w:val="22"/>
          <w:szCs w:val="22"/>
        </w:rPr>
        <w:t xml:space="preserve">to enable </w:t>
      </w:r>
      <w:r w:rsidR="00DF4986" w:rsidRPr="00A55EAB">
        <w:rPr>
          <w:rFonts w:ascii="Arial" w:hAnsi="Arial" w:cs="Arial"/>
          <w:color w:val="000000"/>
          <w:sz w:val="22"/>
          <w:szCs w:val="22"/>
        </w:rPr>
        <w:t xml:space="preserve">people with </w:t>
      </w:r>
      <w:r w:rsidR="00163662" w:rsidRPr="00A55EAB">
        <w:rPr>
          <w:rFonts w:ascii="Arial" w:hAnsi="Arial" w:cs="Arial"/>
          <w:color w:val="000000"/>
          <w:sz w:val="22"/>
          <w:szCs w:val="22"/>
        </w:rPr>
        <w:t xml:space="preserve">significant </w:t>
      </w:r>
      <w:r w:rsidR="00DF4986" w:rsidRPr="00A55EAB">
        <w:rPr>
          <w:rFonts w:ascii="Arial" w:hAnsi="Arial" w:cs="Arial"/>
          <w:color w:val="000000"/>
          <w:sz w:val="22"/>
          <w:szCs w:val="22"/>
        </w:rPr>
        <w:t>decision-making disability</w:t>
      </w:r>
      <w:r w:rsidR="00B21C3B" w:rsidRPr="00A55EAB">
        <w:rPr>
          <w:rFonts w:ascii="Arial" w:hAnsi="Arial" w:cs="Arial"/>
          <w:color w:val="000000"/>
          <w:sz w:val="22"/>
          <w:szCs w:val="22"/>
        </w:rPr>
        <w:t xml:space="preserve"> to </w:t>
      </w:r>
      <w:r w:rsidR="00B21C7E" w:rsidRPr="00A55EAB">
        <w:rPr>
          <w:rFonts w:ascii="Arial" w:hAnsi="Arial" w:cs="Arial"/>
          <w:color w:val="000000"/>
          <w:sz w:val="22"/>
          <w:szCs w:val="22"/>
        </w:rPr>
        <w:t>access and use the scheme</w:t>
      </w:r>
      <w:r w:rsidR="00D721DB" w:rsidRPr="00A55EAB">
        <w:rPr>
          <w:rFonts w:ascii="Arial" w:hAnsi="Arial" w:cs="Arial"/>
          <w:color w:val="000000"/>
          <w:sz w:val="22"/>
          <w:szCs w:val="22"/>
        </w:rPr>
        <w:t xml:space="preserve"> without </w:t>
      </w:r>
      <w:r w:rsidR="00BC5AF0" w:rsidRPr="00A55EAB">
        <w:rPr>
          <w:rFonts w:ascii="Arial" w:hAnsi="Arial" w:cs="Arial"/>
          <w:color w:val="000000"/>
          <w:sz w:val="22"/>
          <w:szCs w:val="22"/>
        </w:rPr>
        <w:t xml:space="preserve">the involvement of </w:t>
      </w:r>
      <w:r w:rsidR="00D721DB" w:rsidRPr="00A55EAB">
        <w:rPr>
          <w:rFonts w:ascii="Arial" w:hAnsi="Arial" w:cs="Arial"/>
          <w:color w:val="000000"/>
          <w:sz w:val="22"/>
          <w:szCs w:val="22"/>
        </w:rPr>
        <w:t xml:space="preserve">a </w:t>
      </w:r>
      <w:r w:rsidR="00336B98" w:rsidRPr="00A55EAB">
        <w:rPr>
          <w:rFonts w:ascii="Arial" w:hAnsi="Arial" w:cs="Arial"/>
          <w:color w:val="000000"/>
          <w:sz w:val="22"/>
          <w:szCs w:val="22"/>
        </w:rPr>
        <w:t>substitute decision-maker</w:t>
      </w:r>
      <w:r w:rsidR="00686F73" w:rsidRPr="00A55EAB">
        <w:rPr>
          <w:rStyle w:val="FootnoteReference"/>
          <w:rFonts w:ascii="Arial" w:hAnsi="Arial" w:cs="Arial"/>
          <w:color w:val="000000"/>
          <w:sz w:val="22"/>
          <w:szCs w:val="22"/>
        </w:rPr>
        <w:footnoteReference w:id="17"/>
      </w:r>
      <w:r w:rsidR="00BA3021" w:rsidRPr="00BA3021">
        <w:rPr>
          <w:rFonts w:ascii="Arial" w:hAnsi="Arial" w:cs="Arial"/>
          <w:color w:val="000000"/>
          <w:sz w:val="22"/>
          <w:szCs w:val="22"/>
        </w:rPr>
        <w:t xml:space="preserve"> </w:t>
      </w:r>
      <w:r w:rsidR="00BA3021">
        <w:rPr>
          <w:rFonts w:ascii="Arial" w:hAnsi="Arial" w:cs="Arial"/>
          <w:color w:val="000000"/>
          <w:sz w:val="22"/>
          <w:szCs w:val="22"/>
        </w:rPr>
        <w:t>(</w:t>
      </w:r>
      <w:r w:rsidR="00E80DA6">
        <w:rPr>
          <w:rFonts w:ascii="Arial" w:hAnsi="Arial" w:cs="Arial"/>
          <w:color w:val="000000"/>
          <w:sz w:val="22"/>
          <w:szCs w:val="22"/>
        </w:rPr>
        <w:t xml:space="preserve">through, </w:t>
      </w:r>
      <w:r w:rsidR="00D71660">
        <w:rPr>
          <w:rFonts w:ascii="Arial" w:hAnsi="Arial" w:cs="Arial"/>
          <w:color w:val="000000"/>
          <w:sz w:val="22"/>
          <w:szCs w:val="22"/>
        </w:rPr>
        <w:t xml:space="preserve">for example, </w:t>
      </w:r>
      <w:r w:rsidR="00BA3021" w:rsidRPr="00BC2824">
        <w:rPr>
          <w:rFonts w:ascii="Arial" w:hAnsi="Arial" w:cs="Arial"/>
          <w:color w:val="000000"/>
          <w:sz w:val="22"/>
          <w:szCs w:val="22"/>
        </w:rPr>
        <w:t>funded supported decision-making services</w:t>
      </w:r>
      <w:r w:rsidR="00BA3021">
        <w:rPr>
          <w:rFonts w:ascii="Arial" w:hAnsi="Arial" w:cs="Arial"/>
          <w:color w:val="000000"/>
          <w:sz w:val="22"/>
          <w:szCs w:val="22"/>
        </w:rPr>
        <w:t>)</w:t>
      </w:r>
      <w:r w:rsidR="00D71660">
        <w:rPr>
          <w:rFonts w:ascii="Arial" w:hAnsi="Arial" w:cs="Arial"/>
          <w:color w:val="000000"/>
          <w:sz w:val="22"/>
          <w:szCs w:val="22"/>
        </w:rPr>
        <w:t>.</w:t>
      </w:r>
    </w:p>
    <w:p w14:paraId="35B455BF" w14:textId="3E6CC7E4" w:rsidR="00E7627C" w:rsidRDefault="00C822E7" w:rsidP="006658CA">
      <w:pPr>
        <w:spacing w:before="120" w:after="120" w:line="252" w:lineRule="auto"/>
        <w:rPr>
          <w:rStyle w:val="normaltextrun"/>
        </w:rPr>
      </w:pPr>
      <w:r>
        <w:rPr>
          <w:rStyle w:val="normaltextrun"/>
        </w:rPr>
        <w:t xml:space="preserve">To date, moves to address these systemic design issues have not been forthcoming. </w:t>
      </w:r>
      <w:r w:rsidR="005F43BD">
        <w:rPr>
          <w:rStyle w:val="normaltextrun"/>
        </w:rPr>
        <w:t xml:space="preserve">The </w:t>
      </w:r>
      <w:r w:rsidR="005451BC">
        <w:rPr>
          <w:rStyle w:val="normaltextrun"/>
        </w:rPr>
        <w:t>experience</w:t>
      </w:r>
      <w:r w:rsidR="005F43BD">
        <w:rPr>
          <w:rStyle w:val="normaltextrun"/>
        </w:rPr>
        <w:t xml:space="preserve"> of the Office of the Public Advocate</w:t>
      </w:r>
      <w:r w:rsidR="005451BC">
        <w:rPr>
          <w:rStyle w:val="normaltextrun"/>
        </w:rPr>
        <w:t xml:space="preserve"> suggest</w:t>
      </w:r>
      <w:r w:rsidR="005F43BD">
        <w:rPr>
          <w:rStyle w:val="normaltextrun"/>
        </w:rPr>
        <w:t>s</w:t>
      </w:r>
      <w:r w:rsidR="005451BC">
        <w:rPr>
          <w:rStyle w:val="normaltextrun"/>
        </w:rPr>
        <w:t xml:space="preserve"> </w:t>
      </w:r>
      <w:r w:rsidR="007C181B">
        <w:rPr>
          <w:rStyle w:val="normaltextrun"/>
        </w:rPr>
        <w:t xml:space="preserve">design issues </w:t>
      </w:r>
      <w:r w:rsidR="007A74B2">
        <w:rPr>
          <w:rStyle w:val="normaltextrun"/>
        </w:rPr>
        <w:t>with</w:t>
      </w:r>
      <w:r w:rsidR="00BC768B">
        <w:rPr>
          <w:rStyle w:val="normaltextrun"/>
        </w:rPr>
        <w:t xml:space="preserve">in </w:t>
      </w:r>
      <w:r w:rsidR="0013725D">
        <w:rPr>
          <w:rStyle w:val="normaltextrun"/>
        </w:rPr>
        <w:t xml:space="preserve">the NDIS and </w:t>
      </w:r>
      <w:r w:rsidR="00D90A95">
        <w:rPr>
          <w:rStyle w:val="normaltextrun"/>
        </w:rPr>
        <w:t xml:space="preserve">the wider disability </w:t>
      </w:r>
      <w:r w:rsidR="00BC768B">
        <w:rPr>
          <w:rStyle w:val="normaltextrun"/>
        </w:rPr>
        <w:t>sector (</w:t>
      </w:r>
      <w:r w:rsidR="004917A4">
        <w:rPr>
          <w:rStyle w:val="normaltextrun"/>
        </w:rPr>
        <w:t xml:space="preserve">encompassing </w:t>
      </w:r>
      <w:r w:rsidR="00BA4E55">
        <w:rPr>
          <w:rStyle w:val="normaltextrun"/>
        </w:rPr>
        <w:t>regulation</w:t>
      </w:r>
      <w:r w:rsidR="005261BC">
        <w:rPr>
          <w:rStyle w:val="normaltextrun"/>
        </w:rPr>
        <w:t>,</w:t>
      </w:r>
      <w:r w:rsidR="00FE73EF">
        <w:rPr>
          <w:rStyle w:val="normaltextrun"/>
        </w:rPr>
        <w:t xml:space="preserve"> </w:t>
      </w:r>
      <w:r w:rsidR="00BA4E55">
        <w:rPr>
          <w:rStyle w:val="normaltextrun"/>
        </w:rPr>
        <w:t xml:space="preserve">oversight </w:t>
      </w:r>
      <w:r w:rsidR="00DD3888">
        <w:rPr>
          <w:rStyle w:val="normaltextrun"/>
        </w:rPr>
        <w:t xml:space="preserve">and </w:t>
      </w:r>
      <w:r w:rsidR="005261BC">
        <w:rPr>
          <w:rStyle w:val="normaltextrun"/>
        </w:rPr>
        <w:t>services</w:t>
      </w:r>
      <w:r w:rsidR="00BC768B">
        <w:rPr>
          <w:rStyle w:val="normaltextrun"/>
        </w:rPr>
        <w:t>)</w:t>
      </w:r>
      <w:r w:rsidR="00BA4E55">
        <w:rPr>
          <w:rStyle w:val="normaltextrun"/>
        </w:rPr>
        <w:t xml:space="preserve"> </w:t>
      </w:r>
      <w:r w:rsidR="007A74B2">
        <w:rPr>
          <w:rStyle w:val="normaltextrun"/>
        </w:rPr>
        <w:t xml:space="preserve">has </w:t>
      </w:r>
      <w:r w:rsidR="00BA4E55">
        <w:rPr>
          <w:rStyle w:val="normaltextrun"/>
        </w:rPr>
        <w:t>contribute</w:t>
      </w:r>
      <w:r w:rsidR="00974350">
        <w:rPr>
          <w:rStyle w:val="normaltextrun"/>
        </w:rPr>
        <w:t>d</w:t>
      </w:r>
      <w:r w:rsidR="00BA4E55">
        <w:rPr>
          <w:rStyle w:val="normaltextrun"/>
        </w:rPr>
        <w:t xml:space="preserve"> to </w:t>
      </w:r>
      <w:r w:rsidR="00974350">
        <w:rPr>
          <w:rStyle w:val="normaltextrun"/>
        </w:rPr>
        <w:t>the growth in guar</w:t>
      </w:r>
      <w:r w:rsidR="00DB57C3">
        <w:rPr>
          <w:rStyle w:val="normaltextrun"/>
        </w:rPr>
        <w:t>d</w:t>
      </w:r>
      <w:r w:rsidR="00974350">
        <w:rPr>
          <w:rStyle w:val="normaltextrun"/>
        </w:rPr>
        <w:t>ianship</w:t>
      </w:r>
      <w:r w:rsidR="00F3768F">
        <w:rPr>
          <w:rStyle w:val="normaltextrun"/>
        </w:rPr>
        <w:t xml:space="preserve"> </w:t>
      </w:r>
      <w:r w:rsidR="003D1C0F">
        <w:rPr>
          <w:rStyle w:val="normaltextrun"/>
        </w:rPr>
        <w:t>among younger people</w:t>
      </w:r>
      <w:r w:rsidR="00DB57C3">
        <w:rPr>
          <w:rStyle w:val="normaltextrun"/>
        </w:rPr>
        <w:t xml:space="preserve">. </w:t>
      </w:r>
    </w:p>
    <w:p w14:paraId="408D9488" w14:textId="77777777" w:rsidR="00C12B54" w:rsidRDefault="00C12B54" w:rsidP="00C12B54">
      <w:pPr>
        <w:pStyle w:val="elementtoproof"/>
        <w:spacing w:before="120" w:beforeAutospacing="0" w:after="120" w:afterAutospacing="0" w:line="252" w:lineRule="auto"/>
        <w:rPr>
          <w:rFonts w:ascii="Arial" w:hAnsi="Arial" w:cs="Arial"/>
          <w:color w:val="000000"/>
          <w:sz w:val="22"/>
          <w:szCs w:val="22"/>
        </w:rPr>
      </w:pPr>
      <w:r>
        <w:rPr>
          <w:rFonts w:ascii="Arial" w:hAnsi="Arial" w:cs="Arial"/>
          <w:color w:val="000000"/>
          <w:sz w:val="22"/>
          <w:szCs w:val="22"/>
        </w:rPr>
        <w:t xml:space="preserve">Conversely, the lower likelihood of people aged over 65 requiring multiple guardianship orders </w:t>
      </w:r>
      <w:r w:rsidRPr="00B7316B">
        <w:rPr>
          <w:rFonts w:ascii="Arial" w:hAnsi="Arial" w:cs="Arial"/>
          <w:color w:val="000000"/>
          <w:sz w:val="22"/>
          <w:szCs w:val="22"/>
        </w:rPr>
        <w:t xml:space="preserve">can be explained by a few factors: </w:t>
      </w:r>
    </w:p>
    <w:p w14:paraId="128807DD" w14:textId="77777777" w:rsidR="00C12B54" w:rsidRDefault="00C12B54" w:rsidP="00C12B54">
      <w:pPr>
        <w:pStyle w:val="elementtoproof"/>
        <w:numPr>
          <w:ilvl w:val="0"/>
          <w:numId w:val="24"/>
        </w:numPr>
        <w:spacing w:before="120" w:beforeAutospacing="0" w:after="120" w:afterAutospacing="0" w:line="252" w:lineRule="auto"/>
        <w:rPr>
          <w:rFonts w:ascii="Arial" w:hAnsi="Arial" w:cs="Arial"/>
          <w:color w:val="000000"/>
          <w:sz w:val="22"/>
          <w:szCs w:val="22"/>
        </w:rPr>
      </w:pPr>
      <w:r>
        <w:rPr>
          <w:rFonts w:ascii="Arial" w:hAnsi="Arial" w:cs="Arial"/>
          <w:color w:val="000000"/>
          <w:sz w:val="22"/>
          <w:szCs w:val="22"/>
        </w:rPr>
        <w:t xml:space="preserve">Accessing </w:t>
      </w:r>
      <w:r w:rsidRPr="00B7316B">
        <w:rPr>
          <w:rFonts w:ascii="Arial" w:hAnsi="Arial" w:cs="Arial"/>
          <w:color w:val="000000"/>
          <w:sz w:val="22"/>
          <w:szCs w:val="22"/>
        </w:rPr>
        <w:t xml:space="preserve">the aged care system is significantly more straightforward than accessing </w:t>
      </w:r>
      <w:r>
        <w:rPr>
          <w:rFonts w:ascii="Arial" w:hAnsi="Arial" w:cs="Arial"/>
          <w:color w:val="000000"/>
          <w:sz w:val="22"/>
          <w:szCs w:val="22"/>
        </w:rPr>
        <w:t xml:space="preserve">and navigating the </w:t>
      </w:r>
      <w:r w:rsidRPr="00B7316B">
        <w:rPr>
          <w:rFonts w:ascii="Arial" w:hAnsi="Arial" w:cs="Arial"/>
          <w:color w:val="000000"/>
          <w:sz w:val="22"/>
          <w:szCs w:val="22"/>
        </w:rPr>
        <w:t>disability services</w:t>
      </w:r>
      <w:r>
        <w:rPr>
          <w:rFonts w:ascii="Arial" w:hAnsi="Arial" w:cs="Arial"/>
          <w:color w:val="000000"/>
          <w:sz w:val="22"/>
          <w:szCs w:val="22"/>
        </w:rPr>
        <w:t xml:space="preserve"> sector (for which most people over 65 are ineligible)</w:t>
      </w:r>
    </w:p>
    <w:p w14:paraId="07A276B1" w14:textId="77777777" w:rsidR="00C12B54" w:rsidRDefault="00C12B54" w:rsidP="00C12B54">
      <w:pPr>
        <w:pStyle w:val="elementtoproof"/>
        <w:numPr>
          <w:ilvl w:val="0"/>
          <w:numId w:val="24"/>
        </w:numPr>
        <w:spacing w:before="120" w:beforeAutospacing="0" w:after="120" w:afterAutospacing="0" w:line="252" w:lineRule="auto"/>
        <w:rPr>
          <w:rFonts w:ascii="Arial" w:hAnsi="Arial" w:cs="Arial"/>
          <w:color w:val="000000"/>
          <w:sz w:val="22"/>
          <w:szCs w:val="22"/>
        </w:rPr>
      </w:pPr>
      <w:r>
        <w:rPr>
          <w:rFonts w:ascii="Arial" w:hAnsi="Arial" w:cs="Arial"/>
          <w:color w:val="000000"/>
          <w:sz w:val="22"/>
          <w:szCs w:val="22"/>
        </w:rPr>
        <w:t xml:space="preserve">Accessing </w:t>
      </w:r>
      <w:r w:rsidRPr="00B7316B">
        <w:rPr>
          <w:rFonts w:ascii="Arial" w:hAnsi="Arial" w:cs="Arial"/>
          <w:color w:val="000000"/>
          <w:sz w:val="22"/>
          <w:szCs w:val="22"/>
        </w:rPr>
        <w:t>th</w:t>
      </w:r>
      <w:r>
        <w:rPr>
          <w:rFonts w:ascii="Arial" w:hAnsi="Arial" w:cs="Arial"/>
          <w:color w:val="000000"/>
          <w:sz w:val="22"/>
          <w:szCs w:val="22"/>
        </w:rPr>
        <w:t>e aged care system</w:t>
      </w:r>
      <w:r w:rsidRPr="00B7316B">
        <w:rPr>
          <w:rFonts w:ascii="Arial" w:hAnsi="Arial" w:cs="Arial"/>
          <w:color w:val="000000"/>
          <w:sz w:val="22"/>
          <w:szCs w:val="22"/>
        </w:rPr>
        <w:t xml:space="preserve"> involves fewer options and therefore fewer decisions </w:t>
      </w:r>
    </w:p>
    <w:p w14:paraId="7EB009C3" w14:textId="77777777" w:rsidR="00C12B54" w:rsidRDefault="00C12B54" w:rsidP="00C12B54">
      <w:pPr>
        <w:pStyle w:val="elementtoproof"/>
        <w:numPr>
          <w:ilvl w:val="0"/>
          <w:numId w:val="24"/>
        </w:numPr>
        <w:spacing w:before="120" w:beforeAutospacing="0" w:after="120" w:afterAutospacing="0" w:line="252" w:lineRule="auto"/>
        <w:rPr>
          <w:rFonts w:ascii="Arial" w:hAnsi="Arial" w:cs="Arial"/>
          <w:color w:val="000000"/>
          <w:sz w:val="22"/>
          <w:szCs w:val="22"/>
        </w:rPr>
      </w:pPr>
      <w:r>
        <w:rPr>
          <w:rFonts w:ascii="Arial" w:hAnsi="Arial" w:cs="Arial"/>
          <w:color w:val="000000"/>
          <w:sz w:val="22"/>
          <w:szCs w:val="22"/>
        </w:rPr>
        <w:t xml:space="preserve">Physical and mental </w:t>
      </w:r>
      <w:r w:rsidRPr="00B7316B">
        <w:rPr>
          <w:rFonts w:ascii="Arial" w:hAnsi="Arial" w:cs="Arial"/>
          <w:color w:val="000000"/>
          <w:sz w:val="22"/>
          <w:szCs w:val="22"/>
        </w:rPr>
        <w:t>decline due to the ageing process and</w:t>
      </w:r>
      <w:r>
        <w:rPr>
          <w:rFonts w:ascii="Arial" w:hAnsi="Arial" w:cs="Arial"/>
          <w:color w:val="000000"/>
          <w:sz w:val="22"/>
          <w:szCs w:val="22"/>
        </w:rPr>
        <w:t>/or</w:t>
      </w:r>
      <w:r w:rsidRPr="00B7316B">
        <w:rPr>
          <w:rFonts w:ascii="Arial" w:hAnsi="Arial" w:cs="Arial"/>
          <w:color w:val="000000"/>
          <w:sz w:val="22"/>
          <w:szCs w:val="22"/>
        </w:rPr>
        <w:t xml:space="preserve"> degenerative disability may also reduce decision alternatives</w:t>
      </w:r>
      <w:r>
        <w:rPr>
          <w:rFonts w:ascii="Arial" w:hAnsi="Arial" w:cs="Arial"/>
          <w:color w:val="000000"/>
          <w:sz w:val="22"/>
          <w:szCs w:val="22"/>
        </w:rPr>
        <w:t>,</w:t>
      </w:r>
      <w:r w:rsidRPr="00B7316B">
        <w:rPr>
          <w:rFonts w:ascii="Arial" w:hAnsi="Arial" w:cs="Arial"/>
          <w:color w:val="000000"/>
          <w:sz w:val="22"/>
          <w:szCs w:val="22"/>
        </w:rPr>
        <w:t xml:space="preserve"> </w:t>
      </w:r>
      <w:r>
        <w:rPr>
          <w:rFonts w:ascii="Arial" w:hAnsi="Arial" w:cs="Arial"/>
          <w:color w:val="000000"/>
          <w:sz w:val="22"/>
          <w:szCs w:val="22"/>
        </w:rPr>
        <w:t xml:space="preserve">and </w:t>
      </w:r>
    </w:p>
    <w:p w14:paraId="667A7470" w14:textId="79E42DC8" w:rsidR="00C12B54" w:rsidRPr="00A55EAB" w:rsidRDefault="00A70429" w:rsidP="00730282">
      <w:pPr>
        <w:pStyle w:val="elementtoproof"/>
        <w:numPr>
          <w:ilvl w:val="0"/>
          <w:numId w:val="24"/>
        </w:numPr>
        <w:spacing w:before="120" w:beforeAutospacing="0" w:after="120" w:afterAutospacing="0" w:line="252" w:lineRule="auto"/>
        <w:rPr>
          <w:rFonts w:ascii="Arial" w:hAnsi="Arial" w:cs="Arial"/>
          <w:color w:val="000000"/>
          <w:sz w:val="22"/>
          <w:szCs w:val="22"/>
        </w:rPr>
      </w:pPr>
      <w:r>
        <w:rPr>
          <w:rFonts w:ascii="Arial" w:hAnsi="Arial" w:cs="Arial"/>
          <w:color w:val="000000" w:themeColor="text1"/>
          <w:sz w:val="22"/>
          <w:szCs w:val="22"/>
        </w:rPr>
        <w:lastRenderedPageBreak/>
        <w:t>O</w:t>
      </w:r>
      <w:r w:rsidR="00C12B54" w:rsidRPr="34854EE5">
        <w:rPr>
          <w:rFonts w:ascii="Arial" w:hAnsi="Arial" w:cs="Arial"/>
          <w:color w:val="000000" w:themeColor="text1"/>
          <w:sz w:val="22"/>
          <w:szCs w:val="22"/>
        </w:rPr>
        <w:t xml:space="preserve">lder people are significantly more likely to be compliant with a guardian’s decision (in part due to their physical inability to leave their accommodation setting). This means that </w:t>
      </w:r>
      <w:r w:rsidR="00B163C0">
        <w:rPr>
          <w:rFonts w:ascii="Arial" w:hAnsi="Arial" w:cs="Arial"/>
          <w:color w:val="000000" w:themeColor="text1"/>
          <w:sz w:val="22"/>
          <w:szCs w:val="22"/>
        </w:rPr>
        <w:t>more time subject to guardianship is</w:t>
      </w:r>
      <w:r w:rsidR="00C12B54" w:rsidRPr="34854EE5">
        <w:rPr>
          <w:rFonts w:ascii="Arial" w:hAnsi="Arial" w:cs="Arial"/>
          <w:color w:val="000000" w:themeColor="text1"/>
          <w:sz w:val="22"/>
          <w:szCs w:val="22"/>
        </w:rPr>
        <w:t xml:space="preserve"> not required to maintain a safe services package into the future in the way </w:t>
      </w:r>
      <w:r w:rsidR="00921947">
        <w:rPr>
          <w:rFonts w:ascii="Arial" w:hAnsi="Arial" w:cs="Arial"/>
          <w:color w:val="000000" w:themeColor="text1"/>
          <w:sz w:val="22"/>
          <w:szCs w:val="22"/>
        </w:rPr>
        <w:t>it</w:t>
      </w:r>
      <w:r w:rsidR="00C12B54" w:rsidRPr="34854EE5">
        <w:rPr>
          <w:rFonts w:ascii="Arial" w:hAnsi="Arial" w:cs="Arial"/>
          <w:color w:val="000000" w:themeColor="text1"/>
          <w:sz w:val="22"/>
          <w:szCs w:val="22"/>
        </w:rPr>
        <w:t xml:space="preserve"> might be for a person more able to verbally and physically reject </w:t>
      </w:r>
      <w:r w:rsidR="001942C4">
        <w:rPr>
          <w:rFonts w:ascii="Arial" w:hAnsi="Arial" w:cs="Arial"/>
          <w:color w:val="000000" w:themeColor="text1"/>
          <w:sz w:val="22"/>
          <w:szCs w:val="22"/>
        </w:rPr>
        <w:t>alternatives</w:t>
      </w:r>
      <w:r w:rsidR="00C12B54" w:rsidRPr="34854EE5">
        <w:rPr>
          <w:rFonts w:ascii="Arial" w:hAnsi="Arial" w:cs="Arial"/>
          <w:color w:val="000000" w:themeColor="text1"/>
          <w:sz w:val="22"/>
          <w:szCs w:val="22"/>
        </w:rPr>
        <w:t>.</w:t>
      </w:r>
    </w:p>
    <w:p w14:paraId="1D49A7C5" w14:textId="63522442" w:rsidR="006B51B1" w:rsidRPr="00F00831" w:rsidRDefault="00FF416E" w:rsidP="00A55EAB">
      <w:pPr>
        <w:pStyle w:val="elementtoproof"/>
        <w:spacing w:before="120" w:beforeAutospacing="0" w:after="120" w:afterAutospacing="0" w:line="252" w:lineRule="auto"/>
        <w:rPr>
          <w:rFonts w:ascii="Arial" w:hAnsi="Arial" w:cs="Arial"/>
          <w:color w:val="000000" w:themeColor="text1"/>
          <w:sz w:val="22"/>
          <w:szCs w:val="22"/>
        </w:rPr>
      </w:pPr>
      <w:r w:rsidRPr="00FF416E">
        <w:rPr>
          <w:rFonts w:ascii="Arial" w:hAnsi="Arial" w:cs="Arial"/>
          <w:color w:val="000000" w:themeColor="text1"/>
          <w:sz w:val="22"/>
          <w:szCs w:val="22"/>
        </w:rPr>
        <w:t xml:space="preserve">This analysis was conducted within one </w:t>
      </w:r>
      <w:proofErr w:type="gramStart"/>
      <w:r w:rsidRPr="00FF416E">
        <w:rPr>
          <w:rFonts w:ascii="Arial" w:hAnsi="Arial" w:cs="Arial"/>
          <w:color w:val="000000" w:themeColor="text1"/>
          <w:sz w:val="22"/>
          <w:szCs w:val="22"/>
        </w:rPr>
        <w:t>jurisdiction,</w:t>
      </w:r>
      <w:proofErr w:type="gramEnd"/>
      <w:r w:rsidRPr="00FF416E">
        <w:rPr>
          <w:rFonts w:ascii="Arial" w:hAnsi="Arial" w:cs="Arial"/>
          <w:color w:val="000000" w:themeColor="text1"/>
          <w:sz w:val="22"/>
          <w:szCs w:val="22"/>
        </w:rPr>
        <w:t xml:space="preserve"> however</w:t>
      </w:r>
      <w:r w:rsidR="004E3F9E">
        <w:rPr>
          <w:rFonts w:ascii="Arial" w:hAnsi="Arial" w:cs="Arial"/>
          <w:color w:val="000000" w:themeColor="text1"/>
          <w:sz w:val="22"/>
          <w:szCs w:val="22"/>
        </w:rPr>
        <w:t>,</w:t>
      </w:r>
      <w:r w:rsidRPr="00FF416E">
        <w:rPr>
          <w:rFonts w:ascii="Arial" w:hAnsi="Arial" w:cs="Arial"/>
          <w:color w:val="000000" w:themeColor="text1"/>
          <w:sz w:val="22"/>
          <w:szCs w:val="22"/>
        </w:rPr>
        <w:t xml:space="preserve"> it likely represents a national trend</w:t>
      </w:r>
      <w:r w:rsidR="007530A6" w:rsidRPr="00F00831">
        <w:rPr>
          <w:rFonts w:ascii="Arial" w:hAnsi="Arial" w:cs="Arial"/>
          <w:color w:val="000000" w:themeColor="text1"/>
          <w:sz w:val="22"/>
          <w:szCs w:val="22"/>
        </w:rPr>
        <w:t xml:space="preserve">. </w:t>
      </w:r>
      <w:r w:rsidR="00841D66" w:rsidRPr="00F00831">
        <w:rPr>
          <w:rFonts w:ascii="Arial" w:hAnsi="Arial" w:cs="Arial"/>
          <w:color w:val="000000" w:themeColor="text1"/>
          <w:sz w:val="22"/>
          <w:szCs w:val="22"/>
        </w:rPr>
        <w:t xml:space="preserve">The Office of the Public Advocate </w:t>
      </w:r>
      <w:r w:rsidR="00AE7A4D" w:rsidRPr="00F00831">
        <w:rPr>
          <w:rFonts w:ascii="Arial" w:hAnsi="Arial" w:cs="Arial"/>
          <w:color w:val="000000" w:themeColor="text1"/>
          <w:sz w:val="22"/>
          <w:szCs w:val="22"/>
        </w:rPr>
        <w:t xml:space="preserve">contends </w:t>
      </w:r>
      <w:r w:rsidR="007530A6" w:rsidRPr="00F00831">
        <w:rPr>
          <w:rFonts w:ascii="Arial" w:hAnsi="Arial" w:cs="Arial"/>
          <w:color w:val="000000" w:themeColor="text1"/>
          <w:sz w:val="22"/>
          <w:szCs w:val="22"/>
        </w:rPr>
        <w:t xml:space="preserve">that the safeguarding and administrative needs of service users can be met through </w:t>
      </w:r>
      <w:r w:rsidR="0087564F" w:rsidRPr="00F00831">
        <w:rPr>
          <w:rFonts w:ascii="Arial" w:hAnsi="Arial" w:cs="Arial"/>
          <w:color w:val="000000" w:themeColor="text1"/>
          <w:sz w:val="22"/>
          <w:szCs w:val="22"/>
        </w:rPr>
        <w:t xml:space="preserve">less restrictive </w:t>
      </w:r>
      <w:r w:rsidR="007530A6" w:rsidRPr="00F00831">
        <w:rPr>
          <w:rFonts w:ascii="Arial" w:hAnsi="Arial" w:cs="Arial"/>
          <w:color w:val="000000" w:themeColor="text1"/>
          <w:sz w:val="22"/>
          <w:szCs w:val="22"/>
        </w:rPr>
        <w:t xml:space="preserve">approaches that better promote human rights than those currently embedded in the design of the </w:t>
      </w:r>
      <w:r w:rsidR="00AE7A4D" w:rsidRPr="00F00831">
        <w:rPr>
          <w:rFonts w:ascii="Arial" w:hAnsi="Arial" w:cs="Arial"/>
          <w:color w:val="000000" w:themeColor="text1"/>
          <w:sz w:val="22"/>
          <w:szCs w:val="22"/>
        </w:rPr>
        <w:t>NDIS</w:t>
      </w:r>
      <w:r w:rsidR="007530A6" w:rsidRPr="00F00831">
        <w:rPr>
          <w:rFonts w:ascii="Arial" w:hAnsi="Arial" w:cs="Arial"/>
          <w:color w:val="000000" w:themeColor="text1"/>
          <w:sz w:val="22"/>
          <w:szCs w:val="22"/>
        </w:rPr>
        <w:t xml:space="preserve">. </w:t>
      </w:r>
      <w:r w:rsidR="00AE7A4D" w:rsidRPr="00F00831">
        <w:rPr>
          <w:rFonts w:ascii="Arial" w:hAnsi="Arial" w:cs="Arial"/>
          <w:color w:val="000000" w:themeColor="text1"/>
          <w:sz w:val="22"/>
          <w:szCs w:val="22"/>
        </w:rPr>
        <w:t>Therefore, t</w:t>
      </w:r>
      <w:r w:rsidR="006E6F7E" w:rsidRPr="00F00831">
        <w:rPr>
          <w:rStyle w:val="normaltextrun"/>
          <w:rFonts w:ascii="Arial" w:hAnsi="Arial" w:cs="Arial"/>
          <w:sz w:val="22"/>
          <w:szCs w:val="22"/>
        </w:rPr>
        <w:t xml:space="preserve">he </w:t>
      </w:r>
      <w:r w:rsidR="006E6F7E" w:rsidRPr="0091483E">
        <w:rPr>
          <w:rStyle w:val="normaltextrun"/>
          <w:rFonts w:ascii="Arial" w:hAnsi="Arial" w:cs="Arial"/>
          <w:sz w:val="22"/>
          <w:szCs w:val="22"/>
        </w:rPr>
        <w:t xml:space="preserve">Office of the Public Advocate </w:t>
      </w:r>
      <w:r w:rsidR="00654355" w:rsidRPr="00F00831">
        <w:rPr>
          <w:rFonts w:ascii="Arial" w:hAnsi="Arial" w:cs="Arial"/>
          <w:color w:val="000000" w:themeColor="text1"/>
          <w:sz w:val="22"/>
          <w:szCs w:val="22"/>
        </w:rPr>
        <w:t xml:space="preserve">recommends that the NDIA and the </w:t>
      </w:r>
      <w:r w:rsidR="0028034D" w:rsidRPr="0091483E">
        <w:rPr>
          <w:rFonts w:ascii="Arial" w:hAnsi="Arial" w:cs="Arial"/>
          <w:color w:val="000000" w:themeColor="text1"/>
          <w:sz w:val="22"/>
          <w:szCs w:val="22"/>
        </w:rPr>
        <w:t>Department</w:t>
      </w:r>
      <w:r w:rsidR="000B2197">
        <w:rPr>
          <w:rFonts w:ascii="Arial" w:hAnsi="Arial" w:cs="Arial"/>
          <w:color w:val="000000" w:themeColor="text1"/>
          <w:sz w:val="22"/>
          <w:szCs w:val="22"/>
        </w:rPr>
        <w:t xml:space="preserve"> </w:t>
      </w:r>
      <w:r w:rsidR="0028034D" w:rsidRPr="00F00831">
        <w:rPr>
          <w:rFonts w:ascii="Arial" w:hAnsi="Arial" w:cs="Arial"/>
          <w:color w:val="000000" w:themeColor="text1"/>
          <w:sz w:val="22"/>
          <w:szCs w:val="22"/>
        </w:rPr>
        <w:t>of</w:t>
      </w:r>
      <w:r w:rsidR="0003652C">
        <w:rPr>
          <w:rFonts w:ascii="Arial" w:hAnsi="Arial" w:cs="Arial"/>
          <w:color w:val="000000" w:themeColor="text1"/>
          <w:sz w:val="22"/>
          <w:szCs w:val="22"/>
        </w:rPr>
        <w:t xml:space="preserve"> </w:t>
      </w:r>
      <w:r w:rsidR="0028034D" w:rsidRPr="0091483E">
        <w:rPr>
          <w:rFonts w:ascii="Arial" w:hAnsi="Arial" w:cs="Arial"/>
          <w:color w:val="000000" w:themeColor="text1"/>
          <w:sz w:val="22"/>
          <w:szCs w:val="22"/>
        </w:rPr>
        <w:t>Health</w:t>
      </w:r>
      <w:r w:rsidR="0028034D" w:rsidRPr="00F00831">
        <w:rPr>
          <w:rFonts w:ascii="Arial" w:hAnsi="Arial" w:cs="Arial"/>
          <w:color w:val="000000" w:themeColor="text1"/>
          <w:sz w:val="22"/>
          <w:szCs w:val="22"/>
        </w:rPr>
        <w:t>, Disability and</w:t>
      </w:r>
      <w:r w:rsidR="0003652C">
        <w:rPr>
          <w:rFonts w:ascii="Arial" w:hAnsi="Arial" w:cs="Arial"/>
          <w:color w:val="000000" w:themeColor="text1"/>
          <w:sz w:val="22"/>
          <w:szCs w:val="22"/>
        </w:rPr>
        <w:t xml:space="preserve"> </w:t>
      </w:r>
      <w:r w:rsidR="0028034D" w:rsidRPr="0091483E">
        <w:rPr>
          <w:rFonts w:ascii="Arial" w:hAnsi="Arial" w:cs="Arial"/>
          <w:color w:val="000000" w:themeColor="text1"/>
          <w:sz w:val="22"/>
          <w:szCs w:val="22"/>
        </w:rPr>
        <w:t>Ageing</w:t>
      </w:r>
      <w:r w:rsidR="00F43BDA" w:rsidRPr="00F00831">
        <w:rPr>
          <w:rFonts w:ascii="Arial" w:hAnsi="Arial" w:cs="Arial"/>
          <w:color w:val="000000" w:themeColor="text1"/>
          <w:sz w:val="22"/>
          <w:szCs w:val="22"/>
        </w:rPr>
        <w:t xml:space="preserve"> acknowledge, investigate and </w:t>
      </w:r>
      <w:r w:rsidR="00654355" w:rsidRPr="00F00831">
        <w:rPr>
          <w:rFonts w:ascii="Arial" w:hAnsi="Arial" w:cs="Arial"/>
          <w:color w:val="000000" w:themeColor="text1"/>
          <w:sz w:val="22"/>
          <w:szCs w:val="22"/>
        </w:rPr>
        <w:t xml:space="preserve">move to address the likely drivers of this increase in the demand for guardianship for </w:t>
      </w:r>
      <w:r w:rsidR="00A42954" w:rsidRPr="00F00831">
        <w:rPr>
          <w:rFonts w:ascii="Arial" w:hAnsi="Arial" w:cs="Arial"/>
          <w:color w:val="000000" w:themeColor="text1"/>
          <w:sz w:val="22"/>
          <w:szCs w:val="22"/>
        </w:rPr>
        <w:t xml:space="preserve">people who access the </w:t>
      </w:r>
      <w:r w:rsidR="00654355" w:rsidRPr="00F00831">
        <w:rPr>
          <w:rFonts w:ascii="Arial" w:hAnsi="Arial" w:cs="Arial"/>
          <w:color w:val="000000" w:themeColor="text1"/>
          <w:sz w:val="22"/>
          <w:szCs w:val="22"/>
        </w:rPr>
        <w:t>N</w:t>
      </w:r>
      <w:r w:rsidR="00A42954" w:rsidRPr="00F00831">
        <w:rPr>
          <w:rFonts w:ascii="Arial" w:hAnsi="Arial" w:cs="Arial"/>
          <w:color w:val="000000" w:themeColor="text1"/>
          <w:sz w:val="22"/>
          <w:szCs w:val="22"/>
        </w:rPr>
        <w:t>ational Disability Insurance Scheme.</w:t>
      </w:r>
      <w:r w:rsidR="00654355" w:rsidRPr="00F00831">
        <w:rPr>
          <w:rFonts w:ascii="Arial" w:hAnsi="Arial" w:cs="Arial"/>
          <w:color w:val="000000" w:themeColor="text1"/>
          <w:sz w:val="22"/>
          <w:szCs w:val="22"/>
        </w:rPr>
        <w:t xml:space="preserve"> </w:t>
      </w:r>
    </w:p>
    <w:sectPr w:rsidR="006B51B1" w:rsidRPr="00F00831" w:rsidSect="008720A3">
      <w:headerReference w:type="default" r:id="rId18"/>
      <w:footerReference w:type="default" r:id="rId19"/>
      <w:headerReference w:type="first" r:id="rId20"/>
      <w:pgSz w:w="11906" w:h="16838" w:code="9"/>
      <w:pgMar w:top="992" w:right="1106" w:bottom="992" w:left="1440" w:header="709"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31612" w14:textId="77777777" w:rsidR="00D90C5D" w:rsidRDefault="00D90C5D" w:rsidP="00C82B15">
      <w:pPr>
        <w:spacing w:after="0" w:line="240" w:lineRule="auto"/>
      </w:pPr>
      <w:r>
        <w:separator/>
      </w:r>
    </w:p>
  </w:endnote>
  <w:endnote w:type="continuationSeparator" w:id="0">
    <w:p w14:paraId="56C5FB5B" w14:textId="77777777" w:rsidR="00D90C5D" w:rsidRDefault="00D90C5D" w:rsidP="00C82B15">
      <w:pPr>
        <w:spacing w:after="0" w:line="240" w:lineRule="auto"/>
      </w:pPr>
      <w:r>
        <w:continuationSeparator/>
      </w:r>
    </w:p>
  </w:endnote>
  <w:endnote w:type="continuationNotice" w:id="1">
    <w:p w14:paraId="76FC79ED" w14:textId="77777777" w:rsidR="00D90C5D" w:rsidRDefault="00D90C5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MS PGothic">
    <w:panose1 w:val="020B0600070205080204"/>
    <w:charset w:val="80"/>
    <w:family w:val="swiss"/>
    <w:pitch w:val="variable"/>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012741"/>
      <w:docPartObj>
        <w:docPartGallery w:val="Page Numbers (Bottom of Page)"/>
        <w:docPartUnique/>
      </w:docPartObj>
    </w:sdtPr>
    <w:sdtEndPr>
      <w:rPr>
        <w:noProof/>
      </w:rPr>
    </w:sdtEndPr>
    <w:sdtContent>
      <w:p w14:paraId="63EE90AC" w14:textId="20A9B53F" w:rsidR="00B335F2" w:rsidRDefault="00B335F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2BE7326" w14:textId="77777777" w:rsidR="00B335F2" w:rsidRDefault="00B335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003FC" w14:textId="77777777" w:rsidR="00D90C5D" w:rsidRDefault="00D90C5D" w:rsidP="00C82B15">
      <w:pPr>
        <w:spacing w:after="0" w:line="240" w:lineRule="auto"/>
      </w:pPr>
      <w:r>
        <w:separator/>
      </w:r>
    </w:p>
  </w:footnote>
  <w:footnote w:type="continuationSeparator" w:id="0">
    <w:p w14:paraId="0F167177" w14:textId="77777777" w:rsidR="00D90C5D" w:rsidRDefault="00D90C5D" w:rsidP="00C82B15">
      <w:pPr>
        <w:spacing w:after="0" w:line="240" w:lineRule="auto"/>
      </w:pPr>
      <w:r>
        <w:continuationSeparator/>
      </w:r>
    </w:p>
  </w:footnote>
  <w:footnote w:type="continuationNotice" w:id="1">
    <w:p w14:paraId="35EE38C3" w14:textId="77777777" w:rsidR="00D90C5D" w:rsidRDefault="00D90C5D">
      <w:pPr>
        <w:spacing w:after="0" w:line="240" w:lineRule="auto"/>
      </w:pPr>
    </w:p>
  </w:footnote>
  <w:footnote w:id="2">
    <w:p w14:paraId="1FCF42EA" w14:textId="58AA4580" w:rsidR="002129EE" w:rsidRDefault="002129EE" w:rsidP="00F43FE3">
      <w:pPr>
        <w:spacing w:after="0" w:line="240" w:lineRule="auto"/>
      </w:pPr>
      <w:r>
        <w:rPr>
          <w:rStyle w:val="FootnoteReference"/>
        </w:rPr>
        <w:footnoteRef/>
      </w:r>
      <w:r>
        <w:t xml:space="preserve"> </w:t>
      </w:r>
      <w:r w:rsidRPr="002129EE">
        <w:rPr>
          <w:sz w:val="18"/>
          <w:szCs w:val="18"/>
        </w:rPr>
        <w:t>In Victoria, the continuing need for a guardianship order is assessed at reassessment hearings around 12 months after an order is made. At these hearings, the Victorian Civil and Administrative Tribunal (VCAT) decides whether to revoke the order or to make a new order.</w:t>
      </w:r>
      <w:r>
        <w:t xml:space="preserve"> </w:t>
      </w:r>
    </w:p>
  </w:footnote>
  <w:footnote w:id="3">
    <w:p w14:paraId="76528790" w14:textId="45089B30" w:rsidR="00F43FE3" w:rsidRPr="00D01267" w:rsidRDefault="00F43FE3">
      <w:pPr>
        <w:pStyle w:val="FootnoteText"/>
        <w:rPr>
          <w:sz w:val="18"/>
          <w:szCs w:val="18"/>
        </w:rPr>
      </w:pPr>
      <w:r>
        <w:rPr>
          <w:rStyle w:val="FootnoteReference"/>
        </w:rPr>
        <w:footnoteRef/>
      </w:r>
      <w:r>
        <w:t xml:space="preserve"> </w:t>
      </w:r>
      <w:r w:rsidRPr="008A6FB1">
        <w:rPr>
          <w:sz w:val="18"/>
          <w:szCs w:val="18"/>
        </w:rPr>
        <w:t xml:space="preserve">Convention on the Rights of Persons with Disabilities, opened for signature 30 March 2007, </w:t>
      </w:r>
      <w:proofErr w:type="gramStart"/>
      <w:r w:rsidRPr="008A6FB1">
        <w:rPr>
          <w:sz w:val="18"/>
          <w:szCs w:val="18"/>
        </w:rPr>
        <w:t>2515</w:t>
      </w:r>
      <w:proofErr w:type="gramEnd"/>
      <w:r w:rsidRPr="008A6FB1">
        <w:rPr>
          <w:sz w:val="18"/>
          <w:szCs w:val="18"/>
        </w:rPr>
        <w:t xml:space="preserve"> UNTS 3 (entered into force 3 May 2008) art 12.</w:t>
      </w:r>
    </w:p>
  </w:footnote>
  <w:footnote w:id="4">
    <w:p w14:paraId="5603676D" w14:textId="0D420478" w:rsidR="009A5666" w:rsidRPr="008A6FB1" w:rsidRDefault="009A5666">
      <w:pPr>
        <w:pStyle w:val="FootnoteText"/>
        <w:rPr>
          <w:sz w:val="18"/>
          <w:szCs w:val="18"/>
        </w:rPr>
      </w:pPr>
      <w:r>
        <w:rPr>
          <w:rStyle w:val="FootnoteReference"/>
        </w:rPr>
        <w:footnoteRef/>
      </w:r>
      <w:r>
        <w:t xml:space="preserve"> </w:t>
      </w:r>
      <w:r w:rsidR="00ED0830" w:rsidRPr="008A6FB1">
        <w:rPr>
          <w:sz w:val="18"/>
          <w:szCs w:val="18"/>
        </w:rPr>
        <w:t>Residents of all regions became eligible to apply for the scheme on 1 January 2019.</w:t>
      </w:r>
    </w:p>
  </w:footnote>
  <w:footnote w:id="5">
    <w:p w14:paraId="1DF5C8F8" w14:textId="68CEDCCD" w:rsidR="00A27E0B" w:rsidRPr="008A6FB1" w:rsidRDefault="00A27E0B">
      <w:pPr>
        <w:pStyle w:val="FootnoteText"/>
        <w:rPr>
          <w:sz w:val="18"/>
          <w:szCs w:val="18"/>
        </w:rPr>
      </w:pPr>
      <w:r>
        <w:rPr>
          <w:rStyle w:val="FootnoteReference"/>
        </w:rPr>
        <w:footnoteRef/>
      </w:r>
      <w:r>
        <w:t xml:space="preserve"> </w:t>
      </w:r>
      <w:r w:rsidRPr="008A6FB1">
        <w:rPr>
          <w:i/>
          <w:iCs/>
          <w:sz w:val="18"/>
          <w:szCs w:val="18"/>
        </w:rPr>
        <w:t>Guardianship and Administration Act 2019</w:t>
      </w:r>
      <w:r w:rsidRPr="008A6FB1">
        <w:rPr>
          <w:sz w:val="18"/>
          <w:szCs w:val="18"/>
        </w:rPr>
        <w:t xml:space="preserve"> (Vic) s 7.</w:t>
      </w:r>
    </w:p>
  </w:footnote>
  <w:footnote w:id="6">
    <w:p w14:paraId="4FE40D06" w14:textId="491B0DCD" w:rsidR="00FA1D7C" w:rsidRPr="00FA1D7C" w:rsidRDefault="00FA1D7C">
      <w:pPr>
        <w:pStyle w:val="FootnoteText"/>
        <w:rPr>
          <w:sz w:val="16"/>
          <w:szCs w:val="16"/>
        </w:rPr>
      </w:pPr>
      <w:r>
        <w:rPr>
          <w:rStyle w:val="FootnoteReference"/>
        </w:rPr>
        <w:footnoteRef/>
      </w:r>
      <w:r>
        <w:t xml:space="preserve"> </w:t>
      </w:r>
      <w:r w:rsidRPr="008A6FB1">
        <w:rPr>
          <w:sz w:val="18"/>
          <w:szCs w:val="18"/>
        </w:rPr>
        <w:t>Victoria, Parliamentary Debates, Legislative Assembly, 19 December 2018, 63 (Jill Hennessy, Attorney-General).</w:t>
      </w:r>
    </w:p>
  </w:footnote>
  <w:footnote w:id="7">
    <w:p w14:paraId="34B1ADB3" w14:textId="72D7F1D7" w:rsidR="00465756" w:rsidRPr="008A6FB1" w:rsidRDefault="00465756" w:rsidP="006B0C42">
      <w:pPr>
        <w:pStyle w:val="FootnoteText"/>
        <w:rPr>
          <w:sz w:val="18"/>
          <w:szCs w:val="18"/>
        </w:rPr>
      </w:pPr>
      <w:r>
        <w:rPr>
          <w:rStyle w:val="FootnoteReference"/>
        </w:rPr>
        <w:footnoteRef/>
      </w:r>
      <w:r>
        <w:t xml:space="preserve"> </w:t>
      </w:r>
      <w:r w:rsidRPr="008A6FB1">
        <w:rPr>
          <w:sz w:val="18"/>
          <w:szCs w:val="18"/>
        </w:rPr>
        <w:t>(s 8(</w:t>
      </w:r>
      <w:proofErr w:type="gramStart"/>
      <w:r w:rsidRPr="008A6FB1">
        <w:rPr>
          <w:sz w:val="18"/>
          <w:szCs w:val="18"/>
        </w:rPr>
        <w:t>1)(</w:t>
      </w:r>
      <w:proofErr w:type="gramEnd"/>
      <w:r w:rsidRPr="008A6FB1">
        <w:rPr>
          <w:sz w:val="18"/>
          <w:szCs w:val="18"/>
        </w:rPr>
        <w:t>a</w:t>
      </w:r>
      <w:r w:rsidR="00594847" w:rsidRPr="008A6FB1">
        <w:rPr>
          <w:sz w:val="18"/>
          <w:szCs w:val="18"/>
        </w:rPr>
        <w:t>-</w:t>
      </w:r>
      <w:r w:rsidRPr="008A6FB1">
        <w:rPr>
          <w:sz w:val="18"/>
          <w:szCs w:val="18"/>
        </w:rPr>
        <w:t>c) and s8(2))</w:t>
      </w:r>
    </w:p>
  </w:footnote>
  <w:footnote w:id="8">
    <w:p w14:paraId="0D31CF4B" w14:textId="55708CA6" w:rsidR="00465756" w:rsidRPr="008A6FB1" w:rsidRDefault="00465756" w:rsidP="006B0C42">
      <w:pPr>
        <w:pStyle w:val="FootnoteText"/>
        <w:rPr>
          <w:sz w:val="18"/>
          <w:szCs w:val="18"/>
        </w:rPr>
      </w:pPr>
      <w:r>
        <w:rPr>
          <w:rStyle w:val="FootnoteReference"/>
        </w:rPr>
        <w:footnoteRef/>
      </w:r>
      <w:r>
        <w:t xml:space="preserve"> </w:t>
      </w:r>
      <w:r w:rsidRPr="008A6FB1">
        <w:rPr>
          <w:sz w:val="18"/>
          <w:szCs w:val="18"/>
        </w:rPr>
        <w:t>(s33(1))</w:t>
      </w:r>
    </w:p>
  </w:footnote>
  <w:footnote w:id="9">
    <w:p w14:paraId="33247D3B" w14:textId="62279BD2" w:rsidR="00864720" w:rsidRPr="008A6FB1" w:rsidRDefault="00864720">
      <w:pPr>
        <w:pStyle w:val="FootnoteText"/>
        <w:rPr>
          <w:sz w:val="18"/>
          <w:szCs w:val="18"/>
        </w:rPr>
      </w:pPr>
      <w:r>
        <w:rPr>
          <w:rStyle w:val="FootnoteReference"/>
        </w:rPr>
        <w:footnoteRef/>
      </w:r>
      <w:r>
        <w:t xml:space="preserve"> </w:t>
      </w:r>
      <w:r w:rsidR="0089113D" w:rsidRPr="008A6FB1">
        <w:rPr>
          <w:sz w:val="18"/>
          <w:szCs w:val="18"/>
        </w:rPr>
        <w:t>Office of the Public Advocate,</w:t>
      </w:r>
      <w:r w:rsidR="00527C30" w:rsidRPr="008A6FB1">
        <w:rPr>
          <w:sz w:val="18"/>
          <w:szCs w:val="18"/>
        </w:rPr>
        <w:t xml:space="preserve"> </w:t>
      </w:r>
      <w:r w:rsidR="001A6E82" w:rsidRPr="008A6FB1">
        <w:rPr>
          <w:i/>
          <w:iCs/>
          <w:sz w:val="18"/>
          <w:szCs w:val="18"/>
        </w:rPr>
        <w:t>Reflections on guardianship: The law and practice in Victoria</w:t>
      </w:r>
      <w:r w:rsidR="001A6E82" w:rsidRPr="008A6FB1">
        <w:rPr>
          <w:sz w:val="18"/>
          <w:szCs w:val="18"/>
        </w:rPr>
        <w:t xml:space="preserve"> </w:t>
      </w:r>
      <w:r w:rsidR="009F16A0" w:rsidRPr="008A6FB1">
        <w:rPr>
          <w:sz w:val="18"/>
          <w:szCs w:val="18"/>
        </w:rPr>
        <w:t>(</w:t>
      </w:r>
      <w:r w:rsidR="001A6E82" w:rsidRPr="008A6FB1">
        <w:rPr>
          <w:sz w:val="18"/>
          <w:szCs w:val="18"/>
        </w:rPr>
        <w:t>2023</w:t>
      </w:r>
      <w:r w:rsidR="009F16A0" w:rsidRPr="008A6FB1">
        <w:rPr>
          <w:sz w:val="18"/>
          <w:szCs w:val="18"/>
        </w:rPr>
        <w:t xml:space="preserve">) </w:t>
      </w:r>
      <w:r w:rsidR="002612D2" w:rsidRPr="008A6FB1">
        <w:rPr>
          <w:sz w:val="18"/>
          <w:szCs w:val="18"/>
        </w:rPr>
        <w:t xml:space="preserve">&lt; </w:t>
      </w:r>
      <w:hyperlink r:id="rId1" w:history="1">
        <w:r w:rsidR="002612D2" w:rsidRPr="008A6FB1">
          <w:rPr>
            <w:rStyle w:val="Hyperlink"/>
            <w:sz w:val="18"/>
            <w:szCs w:val="18"/>
          </w:rPr>
          <w:t>Reflections on guardianship: The law and practice in Victoria - Office of the Public Advocate</w:t>
        </w:r>
      </w:hyperlink>
      <w:r w:rsidR="002612D2" w:rsidRPr="008A6FB1">
        <w:rPr>
          <w:sz w:val="18"/>
          <w:szCs w:val="18"/>
        </w:rPr>
        <w:t>&gt;</w:t>
      </w:r>
    </w:p>
  </w:footnote>
  <w:footnote w:id="10">
    <w:p w14:paraId="16A9B55E" w14:textId="2D59767B" w:rsidR="00864720" w:rsidRPr="008A6FB1" w:rsidRDefault="00864720">
      <w:pPr>
        <w:pStyle w:val="FootnoteText"/>
        <w:rPr>
          <w:sz w:val="18"/>
          <w:szCs w:val="18"/>
        </w:rPr>
      </w:pPr>
      <w:r w:rsidRPr="001A6E82">
        <w:rPr>
          <w:rStyle w:val="FootnoteReference"/>
        </w:rPr>
        <w:footnoteRef/>
      </w:r>
      <w:r>
        <w:t xml:space="preserve"> </w:t>
      </w:r>
      <w:r w:rsidR="00F10E56" w:rsidRPr="008A6FB1">
        <w:rPr>
          <w:sz w:val="18"/>
          <w:szCs w:val="18"/>
        </w:rPr>
        <w:t>Office of the Public Advocate, Reflections on guardianship: The law and practice in Victoria (2023) 50.</w:t>
      </w:r>
    </w:p>
  </w:footnote>
  <w:footnote w:id="11">
    <w:p w14:paraId="16473A9E" w14:textId="53293A1C" w:rsidR="00513EEC" w:rsidRPr="008A6FB1" w:rsidRDefault="00513EEC">
      <w:pPr>
        <w:pStyle w:val="FootnoteText"/>
        <w:rPr>
          <w:sz w:val="18"/>
          <w:szCs w:val="18"/>
        </w:rPr>
      </w:pPr>
      <w:r>
        <w:rPr>
          <w:rStyle w:val="FootnoteReference"/>
        </w:rPr>
        <w:footnoteRef/>
      </w:r>
      <w:r>
        <w:t xml:space="preserve"> </w:t>
      </w:r>
      <w:r w:rsidRPr="008A6FB1">
        <w:rPr>
          <w:sz w:val="18"/>
          <w:szCs w:val="18"/>
        </w:rPr>
        <w:t xml:space="preserve">Note that using the entire data set to calculate an average generates a lower ‘average length of guardianship’ than looking at a single year cohort. This is because the data set includes </w:t>
      </w:r>
      <w:proofErr w:type="gramStart"/>
      <w:r w:rsidRPr="008A6FB1">
        <w:rPr>
          <w:sz w:val="18"/>
          <w:szCs w:val="18"/>
        </w:rPr>
        <w:t>all of</w:t>
      </w:r>
      <w:proofErr w:type="gramEnd"/>
      <w:r w:rsidRPr="008A6FB1">
        <w:rPr>
          <w:sz w:val="18"/>
          <w:szCs w:val="18"/>
        </w:rPr>
        <w:t xml:space="preserve"> the new clients from each year between 2008 and 2022 who only ever experienced a single order: skewing the average downward.</w:t>
      </w:r>
    </w:p>
  </w:footnote>
  <w:footnote w:id="12">
    <w:p w14:paraId="66B6483C" w14:textId="5D589160" w:rsidR="00513EEC" w:rsidRPr="008A6FB1" w:rsidRDefault="00513EEC">
      <w:pPr>
        <w:pStyle w:val="FootnoteText"/>
        <w:rPr>
          <w:sz w:val="18"/>
          <w:szCs w:val="18"/>
        </w:rPr>
      </w:pPr>
      <w:r>
        <w:rPr>
          <w:rStyle w:val="FootnoteReference"/>
        </w:rPr>
        <w:footnoteRef/>
      </w:r>
      <w:r>
        <w:t xml:space="preserve"> </w:t>
      </w:r>
      <w:r w:rsidRPr="008A6FB1">
        <w:rPr>
          <w:sz w:val="18"/>
          <w:szCs w:val="18"/>
        </w:rPr>
        <w:t>These outliers likely reflect a period of significant workforce change that occurred du</w:t>
      </w:r>
      <w:r w:rsidR="00A27A96" w:rsidRPr="008A6FB1">
        <w:rPr>
          <w:sz w:val="18"/>
          <w:szCs w:val="18"/>
        </w:rPr>
        <w:t>e to</w:t>
      </w:r>
      <w:r w:rsidRPr="008A6FB1">
        <w:rPr>
          <w:sz w:val="18"/>
          <w:szCs w:val="18"/>
        </w:rPr>
        <w:t xml:space="preserve"> a Victorian Public Sector voluntary retrenchment process</w:t>
      </w:r>
      <w:r w:rsidR="00A27A96" w:rsidRPr="008A6FB1">
        <w:rPr>
          <w:sz w:val="18"/>
          <w:szCs w:val="18"/>
        </w:rPr>
        <w:t>. T</w:t>
      </w:r>
      <w:r w:rsidR="0077019E" w:rsidRPr="008A6FB1">
        <w:rPr>
          <w:sz w:val="18"/>
          <w:szCs w:val="18"/>
        </w:rPr>
        <w:t>aking an a</w:t>
      </w:r>
      <w:r w:rsidR="00A27A96" w:rsidRPr="008A6FB1">
        <w:rPr>
          <w:sz w:val="18"/>
          <w:szCs w:val="18"/>
        </w:rPr>
        <w:t>verag</w:t>
      </w:r>
      <w:r w:rsidR="0077019E" w:rsidRPr="008A6FB1">
        <w:rPr>
          <w:sz w:val="18"/>
          <w:szCs w:val="18"/>
        </w:rPr>
        <w:t>e of</w:t>
      </w:r>
      <w:r w:rsidR="00A27A96" w:rsidRPr="008A6FB1">
        <w:rPr>
          <w:sz w:val="18"/>
          <w:szCs w:val="18"/>
        </w:rPr>
        <w:t xml:space="preserve"> these two </w:t>
      </w:r>
      <w:r w:rsidR="00A23139" w:rsidRPr="008A6FB1">
        <w:rPr>
          <w:sz w:val="18"/>
          <w:szCs w:val="18"/>
        </w:rPr>
        <w:t>outliers tells a clearer story in the graphs below</w:t>
      </w:r>
      <w:r w:rsidR="00A27A96" w:rsidRPr="008A6FB1">
        <w:rPr>
          <w:sz w:val="18"/>
          <w:szCs w:val="18"/>
        </w:rPr>
        <w:t>.</w:t>
      </w:r>
    </w:p>
  </w:footnote>
  <w:footnote w:id="13">
    <w:p w14:paraId="7ED59B95" w14:textId="694432D9" w:rsidR="00CE197F" w:rsidRPr="008A6FB1" w:rsidRDefault="00CE197F">
      <w:pPr>
        <w:pStyle w:val="FootnoteText"/>
        <w:rPr>
          <w:sz w:val="18"/>
          <w:szCs w:val="18"/>
        </w:rPr>
      </w:pPr>
      <w:r>
        <w:rPr>
          <w:rStyle w:val="FootnoteReference"/>
        </w:rPr>
        <w:footnoteRef/>
      </w:r>
      <w:r>
        <w:t xml:space="preserve"> </w:t>
      </w:r>
      <w:r w:rsidRPr="008A6FB1">
        <w:rPr>
          <w:sz w:val="18"/>
          <w:szCs w:val="18"/>
        </w:rPr>
        <w:t xml:space="preserve">This </w:t>
      </w:r>
      <w:r w:rsidR="00AC4D94" w:rsidRPr="008A6FB1">
        <w:rPr>
          <w:sz w:val="18"/>
          <w:szCs w:val="18"/>
        </w:rPr>
        <w:t>includes both people who had 3-5 orders, and people who had 6 or more orders.</w:t>
      </w:r>
    </w:p>
  </w:footnote>
  <w:footnote w:id="14">
    <w:p w14:paraId="669579AA" w14:textId="14D0B053" w:rsidR="00C12B54" w:rsidRPr="008A6FB1" w:rsidRDefault="00C12B54" w:rsidP="006B0C42">
      <w:pPr>
        <w:pStyle w:val="FootnoteText"/>
        <w:rPr>
          <w:sz w:val="18"/>
          <w:szCs w:val="18"/>
        </w:rPr>
      </w:pPr>
      <w:r>
        <w:rPr>
          <w:rStyle w:val="FootnoteReference"/>
        </w:rPr>
        <w:footnoteRef/>
      </w:r>
      <w:r>
        <w:t xml:space="preserve"> </w:t>
      </w:r>
      <w:r w:rsidRPr="008A6FB1">
        <w:rPr>
          <w:sz w:val="18"/>
          <w:szCs w:val="18"/>
        </w:rPr>
        <w:t>Note, for this cohort</w:t>
      </w:r>
      <w:r w:rsidR="00377739" w:rsidRPr="008A6FB1">
        <w:rPr>
          <w:sz w:val="18"/>
          <w:szCs w:val="18"/>
        </w:rPr>
        <w:t>,</w:t>
      </w:r>
      <w:r w:rsidRPr="008A6FB1">
        <w:rPr>
          <w:sz w:val="18"/>
          <w:szCs w:val="18"/>
        </w:rPr>
        <w:t xml:space="preserve"> </w:t>
      </w:r>
      <w:r w:rsidR="00377739" w:rsidRPr="008A6FB1">
        <w:rPr>
          <w:sz w:val="18"/>
          <w:szCs w:val="18"/>
        </w:rPr>
        <w:t xml:space="preserve">ABI as part of dual disability </w:t>
      </w:r>
      <w:r w:rsidRPr="008A6FB1">
        <w:rPr>
          <w:sz w:val="18"/>
          <w:szCs w:val="18"/>
        </w:rPr>
        <w:t>was 22 per cent.</w:t>
      </w:r>
      <w:r w:rsidR="00377739" w:rsidRPr="008A6FB1">
        <w:rPr>
          <w:sz w:val="18"/>
          <w:szCs w:val="18"/>
        </w:rPr>
        <w:t xml:space="preserve"> ABI as single disability was 10 per cent. </w:t>
      </w:r>
    </w:p>
  </w:footnote>
  <w:footnote w:id="15">
    <w:p w14:paraId="0F694E25" w14:textId="77777777" w:rsidR="00C12B54" w:rsidRPr="008A6FB1" w:rsidRDefault="00C12B54" w:rsidP="00C12B54">
      <w:pPr>
        <w:pStyle w:val="FootnoteText"/>
        <w:rPr>
          <w:sz w:val="18"/>
          <w:szCs w:val="18"/>
        </w:rPr>
      </w:pPr>
      <w:r>
        <w:rPr>
          <w:rStyle w:val="FootnoteReference"/>
        </w:rPr>
        <w:footnoteRef/>
      </w:r>
      <w:r>
        <w:t xml:space="preserve"> </w:t>
      </w:r>
      <w:r w:rsidRPr="008A6FB1">
        <w:rPr>
          <w:sz w:val="18"/>
          <w:szCs w:val="18"/>
        </w:rPr>
        <w:t>Tested the one order cohort against the 2+ orders group and against the 6+ orders group using a z-test, single tailed at p&lt;0.10. Both tests reported the relationship was not statistically significant.</w:t>
      </w:r>
    </w:p>
  </w:footnote>
  <w:footnote w:id="16">
    <w:p w14:paraId="159586E4" w14:textId="2585EA1B" w:rsidR="00A9501F" w:rsidRPr="008A6FB1" w:rsidRDefault="00A9501F">
      <w:pPr>
        <w:pStyle w:val="FootnoteText"/>
        <w:rPr>
          <w:sz w:val="18"/>
          <w:szCs w:val="18"/>
        </w:rPr>
      </w:pPr>
      <w:r>
        <w:rPr>
          <w:rStyle w:val="FootnoteReference"/>
        </w:rPr>
        <w:footnoteRef/>
      </w:r>
      <w:r>
        <w:t xml:space="preserve"> </w:t>
      </w:r>
      <w:r w:rsidRPr="008A6FB1">
        <w:rPr>
          <w:sz w:val="18"/>
          <w:szCs w:val="18"/>
        </w:rPr>
        <w:t>Guardianship and Administration Act (Vic) 2019, s</w:t>
      </w:r>
      <w:r w:rsidR="00ED6428" w:rsidRPr="008A6FB1">
        <w:rPr>
          <w:sz w:val="18"/>
          <w:szCs w:val="18"/>
        </w:rPr>
        <w:t>. 40.</w:t>
      </w:r>
    </w:p>
  </w:footnote>
  <w:footnote w:id="17">
    <w:p w14:paraId="0F3A2054" w14:textId="6ACCEEDA" w:rsidR="00686F73" w:rsidRPr="008A6FB1" w:rsidRDefault="00686F73">
      <w:pPr>
        <w:pStyle w:val="FootnoteText"/>
        <w:rPr>
          <w:sz w:val="18"/>
          <w:szCs w:val="18"/>
        </w:rPr>
      </w:pPr>
      <w:r>
        <w:rPr>
          <w:rStyle w:val="FootnoteReference"/>
        </w:rPr>
        <w:footnoteRef/>
      </w:r>
      <w:r>
        <w:t xml:space="preserve"> </w:t>
      </w:r>
      <w:r w:rsidR="00A3085B" w:rsidRPr="008A6FB1">
        <w:rPr>
          <w:sz w:val="18"/>
          <w:szCs w:val="18"/>
        </w:rPr>
        <w:t xml:space="preserve">OPA has led </w:t>
      </w:r>
      <w:r w:rsidRPr="008A6FB1">
        <w:rPr>
          <w:sz w:val="18"/>
          <w:szCs w:val="18"/>
        </w:rPr>
        <w:t xml:space="preserve">long-running efforts to educate service providers about the </w:t>
      </w:r>
      <w:r w:rsidR="007B4ADC" w:rsidRPr="008A6FB1">
        <w:rPr>
          <w:sz w:val="18"/>
          <w:szCs w:val="18"/>
        </w:rPr>
        <w:t>options for navigating the scheme without a substitute decision maker</w:t>
      </w:r>
      <w:r w:rsidR="004A0B80" w:rsidRPr="008A6FB1">
        <w:rPr>
          <w:sz w:val="18"/>
          <w:szCs w:val="18"/>
        </w:rPr>
        <w:t xml:space="preserve">, </w:t>
      </w:r>
      <w:r w:rsidR="002F7D3E" w:rsidRPr="008A6FB1">
        <w:rPr>
          <w:sz w:val="18"/>
          <w:szCs w:val="18"/>
        </w:rPr>
        <w:t>these have achieved</w:t>
      </w:r>
      <w:r w:rsidR="00994FDC" w:rsidRPr="008A6FB1">
        <w:rPr>
          <w:sz w:val="18"/>
          <w:szCs w:val="18"/>
        </w:rPr>
        <w:t xml:space="preserve"> limited success. Now a new set of policies appear to have </w:t>
      </w:r>
      <w:r w:rsidR="00CF1E3D" w:rsidRPr="008A6FB1">
        <w:rPr>
          <w:sz w:val="18"/>
          <w:szCs w:val="18"/>
        </w:rPr>
        <w:t>further embedded consent hurdles</w:t>
      </w:r>
      <w:r w:rsidR="009B0616" w:rsidRPr="008A6FB1">
        <w:rPr>
          <w:sz w:val="18"/>
          <w:szCs w:val="18"/>
        </w:rPr>
        <w:t xml:space="preserve">, potentially generating </w:t>
      </w:r>
      <w:r w:rsidR="005139EA" w:rsidRPr="008A6FB1">
        <w:rPr>
          <w:sz w:val="18"/>
          <w:szCs w:val="18"/>
        </w:rPr>
        <w:t>a purely administrative need for guardianship</w:t>
      </w:r>
      <w:r w:rsidR="00537A76" w:rsidRPr="008A6FB1">
        <w:rPr>
          <w:sz w:val="18"/>
          <w:szCs w:val="18"/>
        </w:rPr>
        <w:t xml:space="preserve"> for some participants</w:t>
      </w:r>
      <w:r w:rsidR="005139EA" w:rsidRPr="008A6FB1">
        <w:rPr>
          <w:sz w:val="18"/>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B20CB" w14:textId="403F1353" w:rsidR="007016A0" w:rsidRDefault="00C12B54" w:rsidP="00625D65">
    <w:pPr>
      <w:pStyle w:val="Header"/>
      <w:rPr>
        <w:color w:val="215E99" w:themeColor="text2" w:themeTint="BF"/>
      </w:rPr>
    </w:pPr>
    <w:r>
      <w:rPr>
        <w:color w:val="215E99" w:themeColor="text2" w:themeTint="BF"/>
      </w:rPr>
      <w:t>Multiple guardianship appointments project</w:t>
    </w:r>
    <w:r w:rsidR="002129EE">
      <w:rPr>
        <w:color w:val="215E99" w:themeColor="text2" w:themeTint="BF"/>
      </w:rPr>
      <w:t xml:space="preserve"> 2025</w:t>
    </w:r>
  </w:p>
  <w:p w14:paraId="2F473716" w14:textId="62C43DCB" w:rsidR="00625D65" w:rsidRPr="00625D65" w:rsidRDefault="00625D65" w:rsidP="001E1C15">
    <w:pPr>
      <w:pStyle w:val="Header"/>
      <w:pBdr>
        <w:bottom w:val="single" w:sz="4" w:space="1" w:color="215E99" w:themeColor="text2" w:themeTint="BF"/>
      </w:pBdr>
      <w:rPr>
        <w:color w:val="215E99" w:themeColor="text2" w:themeTint="BF"/>
      </w:rPr>
    </w:pPr>
  </w:p>
  <w:p w14:paraId="719FA99A" w14:textId="77777777" w:rsidR="00B342F1" w:rsidRPr="00625D65" w:rsidRDefault="00B342F1">
    <w:pPr>
      <w:pStyle w:val="Header"/>
      <w:rPr>
        <w:color w:val="215E99" w:themeColor="text2" w:themeTint="B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89DE" w14:textId="7F848938" w:rsidR="00DC0E0D" w:rsidRDefault="00DC0E0D">
    <w:pPr>
      <w:pStyle w:val="Header"/>
    </w:pPr>
    <w:r w:rsidRPr="006723A1">
      <w:rPr>
        <w:rFonts w:eastAsia="Times New Roman" w:cs="Arial"/>
        <w:noProof/>
        <w:lang w:eastAsia="en-GB"/>
      </w:rPr>
      <w:drawing>
        <wp:anchor distT="0" distB="0" distL="114300" distR="114300" simplePos="0" relativeHeight="251658240" behindDoc="1" locked="0" layoutInCell="1" allowOverlap="1" wp14:anchorId="1A911CBC" wp14:editId="5BE5EF53">
          <wp:simplePos x="0" y="0"/>
          <wp:positionH relativeFrom="column">
            <wp:posOffset>-914400</wp:posOffset>
          </wp:positionH>
          <wp:positionV relativeFrom="paragraph">
            <wp:posOffset>-459104</wp:posOffset>
          </wp:positionV>
          <wp:extent cx="7524750" cy="2510790"/>
          <wp:effectExtent l="0" t="0" r="0" b="0"/>
          <wp:wrapNone/>
          <wp:docPr id="1302858805" name="Picture 1302858805" descr="page1image6612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6612025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25733" cy="2511118"/>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C11E4"/>
    <w:multiLevelType w:val="hybridMultilevel"/>
    <w:tmpl w:val="509AB778"/>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51810FD"/>
    <w:multiLevelType w:val="hybridMultilevel"/>
    <w:tmpl w:val="E9286B5E"/>
    <w:lvl w:ilvl="0" w:tplc="0C09000F">
      <w:start w:val="1"/>
      <w:numFmt w:val="decimal"/>
      <w:lvlText w:val="%1."/>
      <w:lvlJc w:val="left"/>
      <w:pPr>
        <w:ind w:left="720" w:hanging="360"/>
      </w:pPr>
      <w:rPr>
        <w:rFonts w:hint="default"/>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9FD4EEE"/>
    <w:multiLevelType w:val="hybridMultilevel"/>
    <w:tmpl w:val="A7028454"/>
    <w:lvl w:ilvl="0" w:tplc="2A1CBEF4">
      <w:start w:val="1"/>
      <w:numFmt w:val="decimal"/>
      <w:lvlText w:val="%1."/>
      <w:lvlJc w:val="left"/>
      <w:pPr>
        <w:ind w:left="1020" w:hanging="360"/>
      </w:pPr>
    </w:lvl>
    <w:lvl w:ilvl="1" w:tplc="1264D63C">
      <w:start w:val="1"/>
      <w:numFmt w:val="decimal"/>
      <w:lvlText w:val="%2."/>
      <w:lvlJc w:val="left"/>
      <w:pPr>
        <w:ind w:left="1020" w:hanging="360"/>
      </w:pPr>
    </w:lvl>
    <w:lvl w:ilvl="2" w:tplc="5DFE59B0">
      <w:start w:val="1"/>
      <w:numFmt w:val="decimal"/>
      <w:lvlText w:val="%3."/>
      <w:lvlJc w:val="left"/>
      <w:pPr>
        <w:ind w:left="1020" w:hanging="360"/>
      </w:pPr>
    </w:lvl>
    <w:lvl w:ilvl="3" w:tplc="0D2CBB0E">
      <w:start w:val="1"/>
      <w:numFmt w:val="decimal"/>
      <w:lvlText w:val="%4."/>
      <w:lvlJc w:val="left"/>
      <w:pPr>
        <w:ind w:left="1020" w:hanging="360"/>
      </w:pPr>
    </w:lvl>
    <w:lvl w:ilvl="4" w:tplc="C03A2332">
      <w:start w:val="1"/>
      <w:numFmt w:val="decimal"/>
      <w:lvlText w:val="%5."/>
      <w:lvlJc w:val="left"/>
      <w:pPr>
        <w:ind w:left="1020" w:hanging="360"/>
      </w:pPr>
    </w:lvl>
    <w:lvl w:ilvl="5" w:tplc="92101DEE">
      <w:start w:val="1"/>
      <w:numFmt w:val="decimal"/>
      <w:lvlText w:val="%6."/>
      <w:lvlJc w:val="left"/>
      <w:pPr>
        <w:ind w:left="1020" w:hanging="360"/>
      </w:pPr>
    </w:lvl>
    <w:lvl w:ilvl="6" w:tplc="7C600100">
      <w:start w:val="1"/>
      <w:numFmt w:val="decimal"/>
      <w:lvlText w:val="%7."/>
      <w:lvlJc w:val="left"/>
      <w:pPr>
        <w:ind w:left="1020" w:hanging="360"/>
      </w:pPr>
    </w:lvl>
    <w:lvl w:ilvl="7" w:tplc="CA6896F8">
      <w:start w:val="1"/>
      <w:numFmt w:val="decimal"/>
      <w:lvlText w:val="%8."/>
      <w:lvlJc w:val="left"/>
      <w:pPr>
        <w:ind w:left="1020" w:hanging="360"/>
      </w:pPr>
    </w:lvl>
    <w:lvl w:ilvl="8" w:tplc="2EFA9AB8">
      <w:start w:val="1"/>
      <w:numFmt w:val="decimal"/>
      <w:lvlText w:val="%9."/>
      <w:lvlJc w:val="left"/>
      <w:pPr>
        <w:ind w:left="1020" w:hanging="360"/>
      </w:pPr>
    </w:lvl>
  </w:abstractNum>
  <w:abstractNum w:abstractNumId="3" w15:restartNumberingAfterBreak="0">
    <w:nsid w:val="0B01628F"/>
    <w:multiLevelType w:val="hybridMultilevel"/>
    <w:tmpl w:val="62CA6942"/>
    <w:lvl w:ilvl="0" w:tplc="FB046F62">
      <w:start w:val="54"/>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B281DFA"/>
    <w:multiLevelType w:val="multilevel"/>
    <w:tmpl w:val="55FAB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C793AEF"/>
    <w:multiLevelType w:val="multilevel"/>
    <w:tmpl w:val="CA6C3D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AE4FE6"/>
    <w:multiLevelType w:val="hybridMultilevel"/>
    <w:tmpl w:val="EA52F8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1A81901"/>
    <w:multiLevelType w:val="hybridMultilevel"/>
    <w:tmpl w:val="0F68709A"/>
    <w:lvl w:ilvl="0" w:tplc="08029F6A">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3E727B9"/>
    <w:multiLevelType w:val="multilevel"/>
    <w:tmpl w:val="77DA5B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465A24"/>
    <w:multiLevelType w:val="multilevel"/>
    <w:tmpl w:val="DA42BB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1A600EFF"/>
    <w:multiLevelType w:val="hybridMultilevel"/>
    <w:tmpl w:val="F01E53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D7C5D2F"/>
    <w:multiLevelType w:val="multilevel"/>
    <w:tmpl w:val="209ED03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23036024"/>
    <w:multiLevelType w:val="hybridMultilevel"/>
    <w:tmpl w:val="6694D9B0"/>
    <w:lvl w:ilvl="0" w:tplc="29DE9B0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5EF6ECD"/>
    <w:multiLevelType w:val="hybridMultilevel"/>
    <w:tmpl w:val="261A31D2"/>
    <w:lvl w:ilvl="0" w:tplc="090A1436">
      <w:start w:val="1"/>
      <w:numFmt w:val="decimal"/>
      <w:lvlText w:val="%1."/>
      <w:lvlJc w:val="left"/>
      <w:pPr>
        <w:ind w:left="340" w:hanging="34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2CB25C7E"/>
    <w:multiLevelType w:val="multilevel"/>
    <w:tmpl w:val="4A40F54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34544A89"/>
    <w:multiLevelType w:val="hybridMultilevel"/>
    <w:tmpl w:val="80DCD8F0"/>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6" w15:restartNumberingAfterBreak="0">
    <w:nsid w:val="36686DCB"/>
    <w:multiLevelType w:val="multilevel"/>
    <w:tmpl w:val="C10ED2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FB7C74"/>
    <w:multiLevelType w:val="hybridMultilevel"/>
    <w:tmpl w:val="A07EAC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C21796E"/>
    <w:multiLevelType w:val="hybridMultilevel"/>
    <w:tmpl w:val="ECECD3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C4151EC"/>
    <w:multiLevelType w:val="multilevel"/>
    <w:tmpl w:val="07E8C8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855884"/>
    <w:multiLevelType w:val="multilevel"/>
    <w:tmpl w:val="251C2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3D63080"/>
    <w:multiLevelType w:val="multilevel"/>
    <w:tmpl w:val="CCAA3B9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2" w15:restartNumberingAfterBreak="0">
    <w:nsid w:val="45A17F5F"/>
    <w:multiLevelType w:val="hybridMultilevel"/>
    <w:tmpl w:val="E5BC0A7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46697FF3"/>
    <w:multiLevelType w:val="hybridMultilevel"/>
    <w:tmpl w:val="24F63DCA"/>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48826E63"/>
    <w:multiLevelType w:val="hybridMultilevel"/>
    <w:tmpl w:val="5434BC92"/>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49E05271"/>
    <w:multiLevelType w:val="hybridMultilevel"/>
    <w:tmpl w:val="1A1645A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4A223CE7"/>
    <w:multiLevelType w:val="hybridMultilevel"/>
    <w:tmpl w:val="6A00000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B4C55A9"/>
    <w:multiLevelType w:val="hybridMultilevel"/>
    <w:tmpl w:val="8ED2A532"/>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4D3709FB"/>
    <w:multiLevelType w:val="hybridMultilevel"/>
    <w:tmpl w:val="5EDE01D8"/>
    <w:lvl w:ilvl="0" w:tplc="FF1208B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9" w15:restartNumberingAfterBreak="0">
    <w:nsid w:val="50CF5537"/>
    <w:multiLevelType w:val="multilevel"/>
    <w:tmpl w:val="C23E34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5D8C7C32"/>
    <w:multiLevelType w:val="hybridMultilevel"/>
    <w:tmpl w:val="54A6C4DC"/>
    <w:lvl w:ilvl="0" w:tplc="0C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619D0E57"/>
    <w:multiLevelType w:val="hybridMultilevel"/>
    <w:tmpl w:val="96FA610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2" w15:restartNumberingAfterBreak="0">
    <w:nsid w:val="6578034A"/>
    <w:multiLevelType w:val="multilevel"/>
    <w:tmpl w:val="B8EE2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7AA2512"/>
    <w:multiLevelType w:val="multilevel"/>
    <w:tmpl w:val="CC6CC9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6DDD7A6A"/>
    <w:multiLevelType w:val="multilevel"/>
    <w:tmpl w:val="319A458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5" w15:restartNumberingAfterBreak="0">
    <w:nsid w:val="741C25F4"/>
    <w:multiLevelType w:val="hybridMultilevel"/>
    <w:tmpl w:val="5D641F4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61B4AEA"/>
    <w:multiLevelType w:val="hybridMultilevel"/>
    <w:tmpl w:val="20001F28"/>
    <w:lvl w:ilvl="0" w:tplc="EECA54F2">
      <w:start w:val="19"/>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7" w15:restartNumberingAfterBreak="0">
    <w:nsid w:val="78DD00A8"/>
    <w:multiLevelType w:val="hybridMultilevel"/>
    <w:tmpl w:val="DCD21B6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7AB2492E"/>
    <w:multiLevelType w:val="multilevel"/>
    <w:tmpl w:val="6282A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EAF48CB"/>
    <w:multiLevelType w:val="multilevel"/>
    <w:tmpl w:val="B748D5F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7F704271"/>
    <w:multiLevelType w:val="hybridMultilevel"/>
    <w:tmpl w:val="2CD68A14"/>
    <w:lvl w:ilvl="0" w:tplc="5C9EB4F2">
      <w:numFmt w:val="bullet"/>
      <w:lvlText w:val="-"/>
      <w:lvlJc w:val="left"/>
      <w:pPr>
        <w:ind w:left="720" w:hanging="360"/>
      </w:pPr>
      <w:rPr>
        <w:rFonts w:ascii="Aptos" w:eastAsia="Aptos" w:hAnsi="Aptos"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num w:numId="1" w16cid:durableId="153228008">
    <w:abstractNumId w:val="35"/>
  </w:num>
  <w:num w:numId="2" w16cid:durableId="254901677">
    <w:abstractNumId w:val="17"/>
  </w:num>
  <w:num w:numId="3" w16cid:durableId="1509565868">
    <w:abstractNumId w:val="7"/>
  </w:num>
  <w:num w:numId="4" w16cid:durableId="23530019">
    <w:abstractNumId w:val="6"/>
  </w:num>
  <w:num w:numId="5" w16cid:durableId="597837702">
    <w:abstractNumId w:val="10"/>
  </w:num>
  <w:num w:numId="6" w16cid:durableId="1912887480">
    <w:abstractNumId w:val="25"/>
  </w:num>
  <w:num w:numId="7" w16cid:durableId="520749508">
    <w:abstractNumId w:val="1"/>
  </w:num>
  <w:num w:numId="8" w16cid:durableId="1013730084">
    <w:abstractNumId w:val="32"/>
  </w:num>
  <w:num w:numId="9" w16cid:durableId="1168053833">
    <w:abstractNumId w:val="33"/>
  </w:num>
  <w:num w:numId="10" w16cid:durableId="1196969465">
    <w:abstractNumId w:val="11"/>
  </w:num>
  <w:num w:numId="11" w16cid:durableId="744305091">
    <w:abstractNumId w:val="9"/>
  </w:num>
  <w:num w:numId="12" w16cid:durableId="1341853888">
    <w:abstractNumId w:val="16"/>
  </w:num>
  <w:num w:numId="13" w16cid:durableId="501434352">
    <w:abstractNumId w:val="29"/>
  </w:num>
  <w:num w:numId="14" w16cid:durableId="1749575859">
    <w:abstractNumId w:val="4"/>
  </w:num>
  <w:num w:numId="15" w16cid:durableId="240022091">
    <w:abstractNumId w:val="20"/>
  </w:num>
  <w:num w:numId="16" w16cid:durableId="1835149589">
    <w:abstractNumId w:val="34"/>
  </w:num>
  <w:num w:numId="17" w16cid:durableId="234173786">
    <w:abstractNumId w:val="21"/>
  </w:num>
  <w:num w:numId="18" w16cid:durableId="427583445">
    <w:abstractNumId w:val="39"/>
  </w:num>
  <w:num w:numId="19" w16cid:durableId="316298839">
    <w:abstractNumId w:val="14"/>
  </w:num>
  <w:num w:numId="20" w16cid:durableId="26880931">
    <w:abstractNumId w:val="19"/>
  </w:num>
  <w:num w:numId="21" w16cid:durableId="3898389">
    <w:abstractNumId w:val="18"/>
  </w:num>
  <w:num w:numId="22" w16cid:durableId="1864007378">
    <w:abstractNumId w:val="28"/>
  </w:num>
  <w:num w:numId="23" w16cid:durableId="2057385532">
    <w:abstractNumId w:val="13"/>
  </w:num>
  <w:num w:numId="24" w16cid:durableId="1198006872">
    <w:abstractNumId w:val="15"/>
  </w:num>
  <w:num w:numId="25" w16cid:durableId="2142110471">
    <w:abstractNumId w:val="31"/>
  </w:num>
  <w:num w:numId="26" w16cid:durableId="171533893">
    <w:abstractNumId w:val="24"/>
  </w:num>
  <w:num w:numId="27" w16cid:durableId="1450902721">
    <w:abstractNumId w:val="23"/>
  </w:num>
  <w:num w:numId="28" w16cid:durableId="2041543827">
    <w:abstractNumId w:val="37"/>
  </w:num>
  <w:num w:numId="29" w16cid:durableId="1837113884">
    <w:abstractNumId w:val="22"/>
  </w:num>
  <w:num w:numId="30" w16cid:durableId="375937887">
    <w:abstractNumId w:val="40"/>
  </w:num>
  <w:num w:numId="31" w16cid:durableId="539316928">
    <w:abstractNumId w:val="26"/>
  </w:num>
  <w:num w:numId="32" w16cid:durableId="267663343">
    <w:abstractNumId w:val="2"/>
  </w:num>
  <w:num w:numId="33" w16cid:durableId="1301419942">
    <w:abstractNumId w:val="3"/>
  </w:num>
  <w:num w:numId="34" w16cid:durableId="879781673">
    <w:abstractNumId w:val="38"/>
  </w:num>
  <w:num w:numId="35" w16cid:durableId="353727862">
    <w:abstractNumId w:val="36"/>
  </w:num>
  <w:num w:numId="36" w16cid:durableId="776560611">
    <w:abstractNumId w:val="5"/>
  </w:num>
  <w:num w:numId="37" w16cid:durableId="483089208">
    <w:abstractNumId w:val="12"/>
  </w:num>
  <w:num w:numId="38" w16cid:durableId="1987658978">
    <w:abstractNumId w:val="27"/>
  </w:num>
  <w:num w:numId="39" w16cid:durableId="121659852">
    <w:abstractNumId w:val="0"/>
  </w:num>
  <w:num w:numId="40" w16cid:durableId="348995462">
    <w:abstractNumId w:val="8"/>
  </w:num>
  <w:num w:numId="41" w16cid:durableId="166790081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48104E"/>
    <w:rsid w:val="00000C9F"/>
    <w:rsid w:val="00000E01"/>
    <w:rsid w:val="00001AFC"/>
    <w:rsid w:val="00002B77"/>
    <w:rsid w:val="000034CF"/>
    <w:rsid w:val="00004B05"/>
    <w:rsid w:val="00004B9F"/>
    <w:rsid w:val="00005828"/>
    <w:rsid w:val="00005B4F"/>
    <w:rsid w:val="00005D33"/>
    <w:rsid w:val="00005D56"/>
    <w:rsid w:val="0000690F"/>
    <w:rsid w:val="00007C1D"/>
    <w:rsid w:val="00010E57"/>
    <w:rsid w:val="00011097"/>
    <w:rsid w:val="00011540"/>
    <w:rsid w:val="0001284E"/>
    <w:rsid w:val="00014B5E"/>
    <w:rsid w:val="00015247"/>
    <w:rsid w:val="000153EF"/>
    <w:rsid w:val="000169DD"/>
    <w:rsid w:val="00016A25"/>
    <w:rsid w:val="00017321"/>
    <w:rsid w:val="0001770E"/>
    <w:rsid w:val="00017BE6"/>
    <w:rsid w:val="000203DB"/>
    <w:rsid w:val="00021F22"/>
    <w:rsid w:val="00022B0C"/>
    <w:rsid w:val="00023260"/>
    <w:rsid w:val="00024A3A"/>
    <w:rsid w:val="00024B1F"/>
    <w:rsid w:val="0002574D"/>
    <w:rsid w:val="000259CB"/>
    <w:rsid w:val="00025A14"/>
    <w:rsid w:val="00025E04"/>
    <w:rsid w:val="0002646C"/>
    <w:rsid w:val="00026C6B"/>
    <w:rsid w:val="0003050B"/>
    <w:rsid w:val="00030591"/>
    <w:rsid w:val="00032169"/>
    <w:rsid w:val="00032206"/>
    <w:rsid w:val="00034F49"/>
    <w:rsid w:val="0003502D"/>
    <w:rsid w:val="00035346"/>
    <w:rsid w:val="000353D7"/>
    <w:rsid w:val="000356E2"/>
    <w:rsid w:val="00035C7E"/>
    <w:rsid w:val="0003616A"/>
    <w:rsid w:val="00036314"/>
    <w:rsid w:val="0003652C"/>
    <w:rsid w:val="000400D7"/>
    <w:rsid w:val="0004097A"/>
    <w:rsid w:val="00041761"/>
    <w:rsid w:val="00042956"/>
    <w:rsid w:val="00042A36"/>
    <w:rsid w:val="00042FE1"/>
    <w:rsid w:val="0004377F"/>
    <w:rsid w:val="00043BAE"/>
    <w:rsid w:val="00043D5A"/>
    <w:rsid w:val="00043E68"/>
    <w:rsid w:val="00044949"/>
    <w:rsid w:val="00045BA8"/>
    <w:rsid w:val="000464EF"/>
    <w:rsid w:val="0005077C"/>
    <w:rsid w:val="00051108"/>
    <w:rsid w:val="00051AC2"/>
    <w:rsid w:val="00051FD8"/>
    <w:rsid w:val="0005234A"/>
    <w:rsid w:val="00052424"/>
    <w:rsid w:val="0005378C"/>
    <w:rsid w:val="00055553"/>
    <w:rsid w:val="000555BA"/>
    <w:rsid w:val="00055632"/>
    <w:rsid w:val="00055A2A"/>
    <w:rsid w:val="00056B57"/>
    <w:rsid w:val="00056DCF"/>
    <w:rsid w:val="00060353"/>
    <w:rsid w:val="000603F7"/>
    <w:rsid w:val="000605A5"/>
    <w:rsid w:val="00060791"/>
    <w:rsid w:val="00062552"/>
    <w:rsid w:val="0006261F"/>
    <w:rsid w:val="00062788"/>
    <w:rsid w:val="00062A6A"/>
    <w:rsid w:val="00063072"/>
    <w:rsid w:val="000637E6"/>
    <w:rsid w:val="000640A2"/>
    <w:rsid w:val="00064E45"/>
    <w:rsid w:val="00065FAA"/>
    <w:rsid w:val="0006661F"/>
    <w:rsid w:val="000677DD"/>
    <w:rsid w:val="000707E6"/>
    <w:rsid w:val="00070AC4"/>
    <w:rsid w:val="000725DC"/>
    <w:rsid w:val="00074239"/>
    <w:rsid w:val="00074872"/>
    <w:rsid w:val="00074B24"/>
    <w:rsid w:val="00074D7A"/>
    <w:rsid w:val="0007529F"/>
    <w:rsid w:val="000764C5"/>
    <w:rsid w:val="00077F55"/>
    <w:rsid w:val="00077FD4"/>
    <w:rsid w:val="0008164B"/>
    <w:rsid w:val="0008174A"/>
    <w:rsid w:val="00082937"/>
    <w:rsid w:val="00082AA5"/>
    <w:rsid w:val="00083157"/>
    <w:rsid w:val="00083B2E"/>
    <w:rsid w:val="00084590"/>
    <w:rsid w:val="00085B56"/>
    <w:rsid w:val="000864FC"/>
    <w:rsid w:val="00086BD1"/>
    <w:rsid w:val="00090DB2"/>
    <w:rsid w:val="00094811"/>
    <w:rsid w:val="00095DAC"/>
    <w:rsid w:val="00095E22"/>
    <w:rsid w:val="00095F99"/>
    <w:rsid w:val="00096653"/>
    <w:rsid w:val="0009721C"/>
    <w:rsid w:val="000A0DC4"/>
    <w:rsid w:val="000A140D"/>
    <w:rsid w:val="000A2336"/>
    <w:rsid w:val="000A2C85"/>
    <w:rsid w:val="000A4551"/>
    <w:rsid w:val="000A4F37"/>
    <w:rsid w:val="000A4F38"/>
    <w:rsid w:val="000A4F3F"/>
    <w:rsid w:val="000A6726"/>
    <w:rsid w:val="000A733A"/>
    <w:rsid w:val="000A7AB7"/>
    <w:rsid w:val="000B0596"/>
    <w:rsid w:val="000B2197"/>
    <w:rsid w:val="000B2610"/>
    <w:rsid w:val="000B28FD"/>
    <w:rsid w:val="000B2BEF"/>
    <w:rsid w:val="000B4A0D"/>
    <w:rsid w:val="000B5DEA"/>
    <w:rsid w:val="000B64B8"/>
    <w:rsid w:val="000B6859"/>
    <w:rsid w:val="000B71D8"/>
    <w:rsid w:val="000B79FF"/>
    <w:rsid w:val="000B7A19"/>
    <w:rsid w:val="000B7C43"/>
    <w:rsid w:val="000C0A76"/>
    <w:rsid w:val="000C2181"/>
    <w:rsid w:val="000C2431"/>
    <w:rsid w:val="000C28D1"/>
    <w:rsid w:val="000C2D0D"/>
    <w:rsid w:val="000C37A2"/>
    <w:rsid w:val="000C5A07"/>
    <w:rsid w:val="000C70CF"/>
    <w:rsid w:val="000C7DAC"/>
    <w:rsid w:val="000D078B"/>
    <w:rsid w:val="000D1024"/>
    <w:rsid w:val="000D1E47"/>
    <w:rsid w:val="000D201C"/>
    <w:rsid w:val="000D2077"/>
    <w:rsid w:val="000D3234"/>
    <w:rsid w:val="000D3E3F"/>
    <w:rsid w:val="000D464E"/>
    <w:rsid w:val="000E00B3"/>
    <w:rsid w:val="000E15F5"/>
    <w:rsid w:val="000E1F4D"/>
    <w:rsid w:val="000E24B9"/>
    <w:rsid w:val="000E2CE5"/>
    <w:rsid w:val="000E3655"/>
    <w:rsid w:val="000E36B3"/>
    <w:rsid w:val="000E3767"/>
    <w:rsid w:val="000E3E4A"/>
    <w:rsid w:val="000E5068"/>
    <w:rsid w:val="000E61CD"/>
    <w:rsid w:val="000F0FFC"/>
    <w:rsid w:val="000F1532"/>
    <w:rsid w:val="000F26B4"/>
    <w:rsid w:val="000F39C2"/>
    <w:rsid w:val="000F3CB3"/>
    <w:rsid w:val="000F4439"/>
    <w:rsid w:val="000F7D9B"/>
    <w:rsid w:val="001007F8"/>
    <w:rsid w:val="00100EF5"/>
    <w:rsid w:val="00101366"/>
    <w:rsid w:val="001013C4"/>
    <w:rsid w:val="00101A56"/>
    <w:rsid w:val="00103638"/>
    <w:rsid w:val="00104C89"/>
    <w:rsid w:val="001052A9"/>
    <w:rsid w:val="00105D9C"/>
    <w:rsid w:val="00105EB9"/>
    <w:rsid w:val="00105EC4"/>
    <w:rsid w:val="001065C1"/>
    <w:rsid w:val="001109DF"/>
    <w:rsid w:val="00110EC2"/>
    <w:rsid w:val="00111605"/>
    <w:rsid w:val="00112496"/>
    <w:rsid w:val="00112DE4"/>
    <w:rsid w:val="00112EAF"/>
    <w:rsid w:val="001131F5"/>
    <w:rsid w:val="001151D3"/>
    <w:rsid w:val="00115CC0"/>
    <w:rsid w:val="0011631D"/>
    <w:rsid w:val="00117490"/>
    <w:rsid w:val="00120E4E"/>
    <w:rsid w:val="00121F82"/>
    <w:rsid w:val="0012226E"/>
    <w:rsid w:val="00122D51"/>
    <w:rsid w:val="00122DA0"/>
    <w:rsid w:val="0012318D"/>
    <w:rsid w:val="00123A93"/>
    <w:rsid w:val="00124C3E"/>
    <w:rsid w:val="00125B04"/>
    <w:rsid w:val="001260AD"/>
    <w:rsid w:val="00127C20"/>
    <w:rsid w:val="00130272"/>
    <w:rsid w:val="001314CC"/>
    <w:rsid w:val="001324A0"/>
    <w:rsid w:val="001334F6"/>
    <w:rsid w:val="0013373C"/>
    <w:rsid w:val="00134228"/>
    <w:rsid w:val="0013445A"/>
    <w:rsid w:val="001352F8"/>
    <w:rsid w:val="0013725D"/>
    <w:rsid w:val="001372F3"/>
    <w:rsid w:val="00137FCF"/>
    <w:rsid w:val="00140428"/>
    <w:rsid w:val="00141728"/>
    <w:rsid w:val="00142161"/>
    <w:rsid w:val="00142602"/>
    <w:rsid w:val="00142EC3"/>
    <w:rsid w:val="001432C9"/>
    <w:rsid w:val="00143A40"/>
    <w:rsid w:val="001443C9"/>
    <w:rsid w:val="0014466A"/>
    <w:rsid w:val="0014474D"/>
    <w:rsid w:val="00146248"/>
    <w:rsid w:val="001500F8"/>
    <w:rsid w:val="001501A8"/>
    <w:rsid w:val="001530B1"/>
    <w:rsid w:val="0015379C"/>
    <w:rsid w:val="00153F16"/>
    <w:rsid w:val="001550D5"/>
    <w:rsid w:val="00155BAB"/>
    <w:rsid w:val="0016169C"/>
    <w:rsid w:val="00163662"/>
    <w:rsid w:val="00163DE9"/>
    <w:rsid w:val="00164137"/>
    <w:rsid w:val="001647F5"/>
    <w:rsid w:val="00164A01"/>
    <w:rsid w:val="00164A20"/>
    <w:rsid w:val="00164D51"/>
    <w:rsid w:val="0016584F"/>
    <w:rsid w:val="001661E7"/>
    <w:rsid w:val="00166A22"/>
    <w:rsid w:val="00167DA8"/>
    <w:rsid w:val="00170842"/>
    <w:rsid w:val="00170B1F"/>
    <w:rsid w:val="00170D87"/>
    <w:rsid w:val="001712F6"/>
    <w:rsid w:val="00172F85"/>
    <w:rsid w:val="00174F2E"/>
    <w:rsid w:val="001762AF"/>
    <w:rsid w:val="00176F9D"/>
    <w:rsid w:val="00177A0C"/>
    <w:rsid w:val="001822E4"/>
    <w:rsid w:val="001831AA"/>
    <w:rsid w:val="001838B7"/>
    <w:rsid w:val="00183B19"/>
    <w:rsid w:val="001842F6"/>
    <w:rsid w:val="00184CE2"/>
    <w:rsid w:val="001852A3"/>
    <w:rsid w:val="001866ED"/>
    <w:rsid w:val="001872DD"/>
    <w:rsid w:val="001873DD"/>
    <w:rsid w:val="0018756A"/>
    <w:rsid w:val="001879F8"/>
    <w:rsid w:val="00187C95"/>
    <w:rsid w:val="00190C22"/>
    <w:rsid w:val="00190EA2"/>
    <w:rsid w:val="00191D79"/>
    <w:rsid w:val="00191F5E"/>
    <w:rsid w:val="00191FFB"/>
    <w:rsid w:val="001925D0"/>
    <w:rsid w:val="00193920"/>
    <w:rsid w:val="001942C4"/>
    <w:rsid w:val="00194AE7"/>
    <w:rsid w:val="00196DE1"/>
    <w:rsid w:val="00197843"/>
    <w:rsid w:val="001A00C8"/>
    <w:rsid w:val="001A0F24"/>
    <w:rsid w:val="001A24CD"/>
    <w:rsid w:val="001A25BF"/>
    <w:rsid w:val="001A32F2"/>
    <w:rsid w:val="001A4DE7"/>
    <w:rsid w:val="001A578C"/>
    <w:rsid w:val="001A5FB2"/>
    <w:rsid w:val="001A693F"/>
    <w:rsid w:val="001A6E82"/>
    <w:rsid w:val="001B0600"/>
    <w:rsid w:val="001B0CA3"/>
    <w:rsid w:val="001B4648"/>
    <w:rsid w:val="001B48BF"/>
    <w:rsid w:val="001B4E57"/>
    <w:rsid w:val="001B54D7"/>
    <w:rsid w:val="001B5BFC"/>
    <w:rsid w:val="001B6EBF"/>
    <w:rsid w:val="001C0591"/>
    <w:rsid w:val="001C0668"/>
    <w:rsid w:val="001C2D68"/>
    <w:rsid w:val="001C3521"/>
    <w:rsid w:val="001C55E9"/>
    <w:rsid w:val="001C68AF"/>
    <w:rsid w:val="001C6C42"/>
    <w:rsid w:val="001C6CD0"/>
    <w:rsid w:val="001C77B8"/>
    <w:rsid w:val="001D01C9"/>
    <w:rsid w:val="001D0D47"/>
    <w:rsid w:val="001D0DBA"/>
    <w:rsid w:val="001D1214"/>
    <w:rsid w:val="001D16D7"/>
    <w:rsid w:val="001D2812"/>
    <w:rsid w:val="001D4B5A"/>
    <w:rsid w:val="001D5AE4"/>
    <w:rsid w:val="001D6F6F"/>
    <w:rsid w:val="001D70CF"/>
    <w:rsid w:val="001D7ABC"/>
    <w:rsid w:val="001E09BC"/>
    <w:rsid w:val="001E1086"/>
    <w:rsid w:val="001E1441"/>
    <w:rsid w:val="001E173D"/>
    <w:rsid w:val="001E1808"/>
    <w:rsid w:val="001E1C15"/>
    <w:rsid w:val="001E2734"/>
    <w:rsid w:val="001E2C4A"/>
    <w:rsid w:val="001E52B4"/>
    <w:rsid w:val="001E6175"/>
    <w:rsid w:val="001E67D1"/>
    <w:rsid w:val="001E6BC9"/>
    <w:rsid w:val="001E7B91"/>
    <w:rsid w:val="001F0390"/>
    <w:rsid w:val="001F22DC"/>
    <w:rsid w:val="001F3BE1"/>
    <w:rsid w:val="001F65B8"/>
    <w:rsid w:val="001F6AAE"/>
    <w:rsid w:val="001F75CA"/>
    <w:rsid w:val="001F7B55"/>
    <w:rsid w:val="00200C61"/>
    <w:rsid w:val="002011DA"/>
    <w:rsid w:val="00201C8A"/>
    <w:rsid w:val="0020233A"/>
    <w:rsid w:val="0020299F"/>
    <w:rsid w:val="00202BB4"/>
    <w:rsid w:val="002035E1"/>
    <w:rsid w:val="00203E75"/>
    <w:rsid w:val="0020704E"/>
    <w:rsid w:val="00210CCF"/>
    <w:rsid w:val="00212726"/>
    <w:rsid w:val="002129EE"/>
    <w:rsid w:val="00212E10"/>
    <w:rsid w:val="00214B2B"/>
    <w:rsid w:val="002154B8"/>
    <w:rsid w:val="0021724D"/>
    <w:rsid w:val="002175FB"/>
    <w:rsid w:val="00217604"/>
    <w:rsid w:val="002201C3"/>
    <w:rsid w:val="002217CF"/>
    <w:rsid w:val="0022263A"/>
    <w:rsid w:val="00224B34"/>
    <w:rsid w:val="00226383"/>
    <w:rsid w:val="00226CA6"/>
    <w:rsid w:val="0022766A"/>
    <w:rsid w:val="002307AB"/>
    <w:rsid w:val="00230CC1"/>
    <w:rsid w:val="002318E3"/>
    <w:rsid w:val="002327D9"/>
    <w:rsid w:val="00234525"/>
    <w:rsid w:val="0023547D"/>
    <w:rsid w:val="002369C8"/>
    <w:rsid w:val="002412F3"/>
    <w:rsid w:val="00241A44"/>
    <w:rsid w:val="00243BCC"/>
    <w:rsid w:val="00245180"/>
    <w:rsid w:val="00247000"/>
    <w:rsid w:val="0024735A"/>
    <w:rsid w:val="002506FA"/>
    <w:rsid w:val="002508D7"/>
    <w:rsid w:val="00251150"/>
    <w:rsid w:val="0025271A"/>
    <w:rsid w:val="002529D4"/>
    <w:rsid w:val="0025314F"/>
    <w:rsid w:val="002535B4"/>
    <w:rsid w:val="00253E05"/>
    <w:rsid w:val="002540BE"/>
    <w:rsid w:val="002546DA"/>
    <w:rsid w:val="002548BF"/>
    <w:rsid w:val="002560D3"/>
    <w:rsid w:val="00256E4E"/>
    <w:rsid w:val="002572AD"/>
    <w:rsid w:val="002603AE"/>
    <w:rsid w:val="00260DE5"/>
    <w:rsid w:val="002612D2"/>
    <w:rsid w:val="00262A4D"/>
    <w:rsid w:val="00262ABB"/>
    <w:rsid w:val="00262C22"/>
    <w:rsid w:val="00265422"/>
    <w:rsid w:val="002656E5"/>
    <w:rsid w:val="00265F5E"/>
    <w:rsid w:val="0026742C"/>
    <w:rsid w:val="00267750"/>
    <w:rsid w:val="00267E72"/>
    <w:rsid w:val="00270469"/>
    <w:rsid w:val="002704BA"/>
    <w:rsid w:val="00270740"/>
    <w:rsid w:val="00270AD5"/>
    <w:rsid w:val="00270ED0"/>
    <w:rsid w:val="00270FA6"/>
    <w:rsid w:val="00271560"/>
    <w:rsid w:val="00271AE9"/>
    <w:rsid w:val="00271E3E"/>
    <w:rsid w:val="002722BA"/>
    <w:rsid w:val="00272F8C"/>
    <w:rsid w:val="00273B01"/>
    <w:rsid w:val="00273FF8"/>
    <w:rsid w:val="002751FC"/>
    <w:rsid w:val="002753BC"/>
    <w:rsid w:val="00275786"/>
    <w:rsid w:val="002776AF"/>
    <w:rsid w:val="0028034D"/>
    <w:rsid w:val="00280778"/>
    <w:rsid w:val="002811EB"/>
    <w:rsid w:val="00281F1D"/>
    <w:rsid w:val="0028398F"/>
    <w:rsid w:val="00283B08"/>
    <w:rsid w:val="00284E64"/>
    <w:rsid w:val="00284F62"/>
    <w:rsid w:val="002856CE"/>
    <w:rsid w:val="00285AD0"/>
    <w:rsid w:val="00286364"/>
    <w:rsid w:val="00287C8B"/>
    <w:rsid w:val="00290817"/>
    <w:rsid w:val="002908FF"/>
    <w:rsid w:val="00290FD6"/>
    <w:rsid w:val="0029213F"/>
    <w:rsid w:val="002938A9"/>
    <w:rsid w:val="0029395B"/>
    <w:rsid w:val="00294A1B"/>
    <w:rsid w:val="00295F9F"/>
    <w:rsid w:val="00296345"/>
    <w:rsid w:val="00297167"/>
    <w:rsid w:val="002A0061"/>
    <w:rsid w:val="002A1098"/>
    <w:rsid w:val="002A1484"/>
    <w:rsid w:val="002A1AEB"/>
    <w:rsid w:val="002A2183"/>
    <w:rsid w:val="002A2A93"/>
    <w:rsid w:val="002A2ECB"/>
    <w:rsid w:val="002A336D"/>
    <w:rsid w:val="002A3F65"/>
    <w:rsid w:val="002A44D6"/>
    <w:rsid w:val="002A4F66"/>
    <w:rsid w:val="002A56E9"/>
    <w:rsid w:val="002A6E77"/>
    <w:rsid w:val="002B1DB5"/>
    <w:rsid w:val="002B28D7"/>
    <w:rsid w:val="002B45E8"/>
    <w:rsid w:val="002B4B35"/>
    <w:rsid w:val="002B4C6E"/>
    <w:rsid w:val="002B5581"/>
    <w:rsid w:val="002B5F6C"/>
    <w:rsid w:val="002B740A"/>
    <w:rsid w:val="002B7614"/>
    <w:rsid w:val="002B77A9"/>
    <w:rsid w:val="002B79F5"/>
    <w:rsid w:val="002B7EFD"/>
    <w:rsid w:val="002C06CA"/>
    <w:rsid w:val="002C0750"/>
    <w:rsid w:val="002C09B6"/>
    <w:rsid w:val="002C6410"/>
    <w:rsid w:val="002C6E11"/>
    <w:rsid w:val="002C7AEC"/>
    <w:rsid w:val="002D1035"/>
    <w:rsid w:val="002D3166"/>
    <w:rsid w:val="002D4AE8"/>
    <w:rsid w:val="002D4DE2"/>
    <w:rsid w:val="002D69C8"/>
    <w:rsid w:val="002E07F9"/>
    <w:rsid w:val="002E0FE5"/>
    <w:rsid w:val="002E14E5"/>
    <w:rsid w:val="002E181D"/>
    <w:rsid w:val="002E1D64"/>
    <w:rsid w:val="002E2A12"/>
    <w:rsid w:val="002E31F3"/>
    <w:rsid w:val="002E3878"/>
    <w:rsid w:val="002E41EB"/>
    <w:rsid w:val="002E48AF"/>
    <w:rsid w:val="002E48CA"/>
    <w:rsid w:val="002E4FB7"/>
    <w:rsid w:val="002E57A3"/>
    <w:rsid w:val="002E69B0"/>
    <w:rsid w:val="002E71C4"/>
    <w:rsid w:val="002E77E4"/>
    <w:rsid w:val="002E78B9"/>
    <w:rsid w:val="002F1ADC"/>
    <w:rsid w:val="002F1DAF"/>
    <w:rsid w:val="002F32AD"/>
    <w:rsid w:val="002F3E07"/>
    <w:rsid w:val="002F40CE"/>
    <w:rsid w:val="002F563B"/>
    <w:rsid w:val="002F60F1"/>
    <w:rsid w:val="002F62F4"/>
    <w:rsid w:val="002F65B6"/>
    <w:rsid w:val="002F7D3E"/>
    <w:rsid w:val="003000EA"/>
    <w:rsid w:val="00300579"/>
    <w:rsid w:val="00301552"/>
    <w:rsid w:val="00301CDE"/>
    <w:rsid w:val="003023B0"/>
    <w:rsid w:val="00302BE7"/>
    <w:rsid w:val="003049CE"/>
    <w:rsid w:val="00304AC6"/>
    <w:rsid w:val="00304BA2"/>
    <w:rsid w:val="00305531"/>
    <w:rsid w:val="00306BC0"/>
    <w:rsid w:val="00306EDF"/>
    <w:rsid w:val="003071D2"/>
    <w:rsid w:val="00307981"/>
    <w:rsid w:val="00307DD4"/>
    <w:rsid w:val="00307FA5"/>
    <w:rsid w:val="00311B7A"/>
    <w:rsid w:val="00311C9A"/>
    <w:rsid w:val="00311D15"/>
    <w:rsid w:val="00313616"/>
    <w:rsid w:val="00313927"/>
    <w:rsid w:val="003141C1"/>
    <w:rsid w:val="00314843"/>
    <w:rsid w:val="003149F8"/>
    <w:rsid w:val="00315F0F"/>
    <w:rsid w:val="00316B6A"/>
    <w:rsid w:val="00316E12"/>
    <w:rsid w:val="00317B5E"/>
    <w:rsid w:val="00317C04"/>
    <w:rsid w:val="0032114F"/>
    <w:rsid w:val="00321534"/>
    <w:rsid w:val="003215F3"/>
    <w:rsid w:val="00321679"/>
    <w:rsid w:val="0032259C"/>
    <w:rsid w:val="00322753"/>
    <w:rsid w:val="00323D52"/>
    <w:rsid w:val="00325B48"/>
    <w:rsid w:val="00325D57"/>
    <w:rsid w:val="00325D72"/>
    <w:rsid w:val="00326B1C"/>
    <w:rsid w:val="00327B15"/>
    <w:rsid w:val="00327C66"/>
    <w:rsid w:val="00330930"/>
    <w:rsid w:val="003312F4"/>
    <w:rsid w:val="00331D28"/>
    <w:rsid w:val="00331EBB"/>
    <w:rsid w:val="003322A7"/>
    <w:rsid w:val="0033273B"/>
    <w:rsid w:val="00332C5F"/>
    <w:rsid w:val="00332F8A"/>
    <w:rsid w:val="003337B8"/>
    <w:rsid w:val="003349F0"/>
    <w:rsid w:val="00334B87"/>
    <w:rsid w:val="003359A0"/>
    <w:rsid w:val="00335DC5"/>
    <w:rsid w:val="00336181"/>
    <w:rsid w:val="00336460"/>
    <w:rsid w:val="00336B98"/>
    <w:rsid w:val="003373F7"/>
    <w:rsid w:val="003373FA"/>
    <w:rsid w:val="00337799"/>
    <w:rsid w:val="00337C98"/>
    <w:rsid w:val="00337FBD"/>
    <w:rsid w:val="003403B0"/>
    <w:rsid w:val="00340C8C"/>
    <w:rsid w:val="00341D20"/>
    <w:rsid w:val="003423AC"/>
    <w:rsid w:val="003429E0"/>
    <w:rsid w:val="003433D0"/>
    <w:rsid w:val="00344849"/>
    <w:rsid w:val="003449DA"/>
    <w:rsid w:val="003458E8"/>
    <w:rsid w:val="00347A6A"/>
    <w:rsid w:val="00347A97"/>
    <w:rsid w:val="00347BFE"/>
    <w:rsid w:val="003504BB"/>
    <w:rsid w:val="00350C3F"/>
    <w:rsid w:val="0035382F"/>
    <w:rsid w:val="0035493B"/>
    <w:rsid w:val="003560B5"/>
    <w:rsid w:val="003564DF"/>
    <w:rsid w:val="00356A31"/>
    <w:rsid w:val="00356DC5"/>
    <w:rsid w:val="00357205"/>
    <w:rsid w:val="0036149A"/>
    <w:rsid w:val="003614C7"/>
    <w:rsid w:val="00362126"/>
    <w:rsid w:val="003624FC"/>
    <w:rsid w:val="003625E1"/>
    <w:rsid w:val="00363A78"/>
    <w:rsid w:val="00365A53"/>
    <w:rsid w:val="00365DDF"/>
    <w:rsid w:val="00371CAB"/>
    <w:rsid w:val="00372977"/>
    <w:rsid w:val="00372E04"/>
    <w:rsid w:val="0037403F"/>
    <w:rsid w:val="00374CF6"/>
    <w:rsid w:val="003752AA"/>
    <w:rsid w:val="00375941"/>
    <w:rsid w:val="00375A24"/>
    <w:rsid w:val="00375A74"/>
    <w:rsid w:val="00376456"/>
    <w:rsid w:val="003767B2"/>
    <w:rsid w:val="003769DA"/>
    <w:rsid w:val="0037735D"/>
    <w:rsid w:val="0037757B"/>
    <w:rsid w:val="00377739"/>
    <w:rsid w:val="00377830"/>
    <w:rsid w:val="00377C3A"/>
    <w:rsid w:val="00377DAF"/>
    <w:rsid w:val="00381225"/>
    <w:rsid w:val="00383855"/>
    <w:rsid w:val="00384967"/>
    <w:rsid w:val="00384FC9"/>
    <w:rsid w:val="003850D8"/>
    <w:rsid w:val="0038515F"/>
    <w:rsid w:val="00385449"/>
    <w:rsid w:val="00385A2B"/>
    <w:rsid w:val="0038644E"/>
    <w:rsid w:val="003870B5"/>
    <w:rsid w:val="00387A84"/>
    <w:rsid w:val="00390EE8"/>
    <w:rsid w:val="00391990"/>
    <w:rsid w:val="00391C88"/>
    <w:rsid w:val="003921B9"/>
    <w:rsid w:val="003923B1"/>
    <w:rsid w:val="00395514"/>
    <w:rsid w:val="00396570"/>
    <w:rsid w:val="00396BFB"/>
    <w:rsid w:val="003973AF"/>
    <w:rsid w:val="003A13AF"/>
    <w:rsid w:val="003A17AC"/>
    <w:rsid w:val="003A3724"/>
    <w:rsid w:val="003A4E63"/>
    <w:rsid w:val="003A569F"/>
    <w:rsid w:val="003A593A"/>
    <w:rsid w:val="003A652D"/>
    <w:rsid w:val="003A7276"/>
    <w:rsid w:val="003A7B99"/>
    <w:rsid w:val="003B0294"/>
    <w:rsid w:val="003B035C"/>
    <w:rsid w:val="003B0CFD"/>
    <w:rsid w:val="003B0D73"/>
    <w:rsid w:val="003B12CA"/>
    <w:rsid w:val="003B18D2"/>
    <w:rsid w:val="003B2153"/>
    <w:rsid w:val="003B2A95"/>
    <w:rsid w:val="003B33CF"/>
    <w:rsid w:val="003B40B6"/>
    <w:rsid w:val="003B4369"/>
    <w:rsid w:val="003B4813"/>
    <w:rsid w:val="003B6256"/>
    <w:rsid w:val="003B68F0"/>
    <w:rsid w:val="003B7033"/>
    <w:rsid w:val="003B773B"/>
    <w:rsid w:val="003B796B"/>
    <w:rsid w:val="003B79FD"/>
    <w:rsid w:val="003C1A05"/>
    <w:rsid w:val="003C3F3F"/>
    <w:rsid w:val="003C4ACF"/>
    <w:rsid w:val="003C5F73"/>
    <w:rsid w:val="003C6F42"/>
    <w:rsid w:val="003C7284"/>
    <w:rsid w:val="003C762E"/>
    <w:rsid w:val="003D0322"/>
    <w:rsid w:val="003D1C0F"/>
    <w:rsid w:val="003D2699"/>
    <w:rsid w:val="003D2CFB"/>
    <w:rsid w:val="003D32BC"/>
    <w:rsid w:val="003D4A8A"/>
    <w:rsid w:val="003D4C55"/>
    <w:rsid w:val="003D4C9C"/>
    <w:rsid w:val="003D6485"/>
    <w:rsid w:val="003D729F"/>
    <w:rsid w:val="003D7B82"/>
    <w:rsid w:val="003E048D"/>
    <w:rsid w:val="003E14B7"/>
    <w:rsid w:val="003E1F98"/>
    <w:rsid w:val="003E2763"/>
    <w:rsid w:val="003E4202"/>
    <w:rsid w:val="003E481F"/>
    <w:rsid w:val="003F025F"/>
    <w:rsid w:val="003F051E"/>
    <w:rsid w:val="003F05A2"/>
    <w:rsid w:val="003F1923"/>
    <w:rsid w:val="003F20BE"/>
    <w:rsid w:val="003F2497"/>
    <w:rsid w:val="003F29CD"/>
    <w:rsid w:val="003F4480"/>
    <w:rsid w:val="003F45A1"/>
    <w:rsid w:val="003F484A"/>
    <w:rsid w:val="003F6F47"/>
    <w:rsid w:val="004013F5"/>
    <w:rsid w:val="004014E2"/>
    <w:rsid w:val="004014EB"/>
    <w:rsid w:val="00401DD9"/>
    <w:rsid w:val="00401FD3"/>
    <w:rsid w:val="004020F8"/>
    <w:rsid w:val="004027EE"/>
    <w:rsid w:val="0040348E"/>
    <w:rsid w:val="00403A62"/>
    <w:rsid w:val="00404ACF"/>
    <w:rsid w:val="00405051"/>
    <w:rsid w:val="0040584A"/>
    <w:rsid w:val="00405A2E"/>
    <w:rsid w:val="004069AD"/>
    <w:rsid w:val="004069DA"/>
    <w:rsid w:val="00410708"/>
    <w:rsid w:val="00410B56"/>
    <w:rsid w:val="0041246D"/>
    <w:rsid w:val="0041278D"/>
    <w:rsid w:val="00412C04"/>
    <w:rsid w:val="00413639"/>
    <w:rsid w:val="00414DAF"/>
    <w:rsid w:val="00414E11"/>
    <w:rsid w:val="00417F76"/>
    <w:rsid w:val="004204CA"/>
    <w:rsid w:val="00421EE3"/>
    <w:rsid w:val="0042311B"/>
    <w:rsid w:val="004235CA"/>
    <w:rsid w:val="00423A04"/>
    <w:rsid w:val="0042514C"/>
    <w:rsid w:val="00426B3C"/>
    <w:rsid w:val="00426F79"/>
    <w:rsid w:val="00427578"/>
    <w:rsid w:val="00431095"/>
    <w:rsid w:val="00431A1A"/>
    <w:rsid w:val="0043322B"/>
    <w:rsid w:val="0043370A"/>
    <w:rsid w:val="004358A5"/>
    <w:rsid w:val="00435B71"/>
    <w:rsid w:val="00440495"/>
    <w:rsid w:val="004411D8"/>
    <w:rsid w:val="00441388"/>
    <w:rsid w:val="00441EB9"/>
    <w:rsid w:val="00442A60"/>
    <w:rsid w:val="00442B40"/>
    <w:rsid w:val="0044346F"/>
    <w:rsid w:val="00443914"/>
    <w:rsid w:val="00443ED1"/>
    <w:rsid w:val="004457C8"/>
    <w:rsid w:val="0045029F"/>
    <w:rsid w:val="00450C51"/>
    <w:rsid w:val="00450F13"/>
    <w:rsid w:val="00452204"/>
    <w:rsid w:val="00452C02"/>
    <w:rsid w:val="00453285"/>
    <w:rsid w:val="0045360E"/>
    <w:rsid w:val="00454E46"/>
    <w:rsid w:val="004602ED"/>
    <w:rsid w:val="00460477"/>
    <w:rsid w:val="004615A5"/>
    <w:rsid w:val="0046206D"/>
    <w:rsid w:val="004620DB"/>
    <w:rsid w:val="0046261C"/>
    <w:rsid w:val="00463AB5"/>
    <w:rsid w:val="00464853"/>
    <w:rsid w:val="00464D32"/>
    <w:rsid w:val="00465756"/>
    <w:rsid w:val="00465AA5"/>
    <w:rsid w:val="00466730"/>
    <w:rsid w:val="004712AC"/>
    <w:rsid w:val="0047174E"/>
    <w:rsid w:val="00473929"/>
    <w:rsid w:val="004752AE"/>
    <w:rsid w:val="00476CBF"/>
    <w:rsid w:val="004774BE"/>
    <w:rsid w:val="0048046B"/>
    <w:rsid w:val="004809B0"/>
    <w:rsid w:val="00480A07"/>
    <w:rsid w:val="0048104E"/>
    <w:rsid w:val="00481912"/>
    <w:rsid w:val="004828A2"/>
    <w:rsid w:val="00484777"/>
    <w:rsid w:val="00484DEE"/>
    <w:rsid w:val="00487AE4"/>
    <w:rsid w:val="00490D3E"/>
    <w:rsid w:val="0049165B"/>
    <w:rsid w:val="004917A4"/>
    <w:rsid w:val="0049198C"/>
    <w:rsid w:val="00491DB0"/>
    <w:rsid w:val="00493671"/>
    <w:rsid w:val="00493D73"/>
    <w:rsid w:val="00494BD8"/>
    <w:rsid w:val="0049631C"/>
    <w:rsid w:val="004A0279"/>
    <w:rsid w:val="004A0B80"/>
    <w:rsid w:val="004A0FE5"/>
    <w:rsid w:val="004A1A7E"/>
    <w:rsid w:val="004A1CAD"/>
    <w:rsid w:val="004A1EEB"/>
    <w:rsid w:val="004A25F8"/>
    <w:rsid w:val="004A2C25"/>
    <w:rsid w:val="004A3445"/>
    <w:rsid w:val="004A621E"/>
    <w:rsid w:val="004A6396"/>
    <w:rsid w:val="004A6D96"/>
    <w:rsid w:val="004A7EBE"/>
    <w:rsid w:val="004B054A"/>
    <w:rsid w:val="004B0EA6"/>
    <w:rsid w:val="004B3F9B"/>
    <w:rsid w:val="004B6C13"/>
    <w:rsid w:val="004B7832"/>
    <w:rsid w:val="004C0401"/>
    <w:rsid w:val="004C06A7"/>
    <w:rsid w:val="004C0753"/>
    <w:rsid w:val="004C11C7"/>
    <w:rsid w:val="004C1B11"/>
    <w:rsid w:val="004C28DF"/>
    <w:rsid w:val="004C2AA2"/>
    <w:rsid w:val="004C2F19"/>
    <w:rsid w:val="004C315B"/>
    <w:rsid w:val="004C32D0"/>
    <w:rsid w:val="004C41C4"/>
    <w:rsid w:val="004C44C8"/>
    <w:rsid w:val="004C5C94"/>
    <w:rsid w:val="004C6D96"/>
    <w:rsid w:val="004C6FD2"/>
    <w:rsid w:val="004C7740"/>
    <w:rsid w:val="004D071E"/>
    <w:rsid w:val="004D0E54"/>
    <w:rsid w:val="004D17C6"/>
    <w:rsid w:val="004D1D88"/>
    <w:rsid w:val="004D1FD1"/>
    <w:rsid w:val="004D20AE"/>
    <w:rsid w:val="004D3103"/>
    <w:rsid w:val="004D37DE"/>
    <w:rsid w:val="004D46AB"/>
    <w:rsid w:val="004D4AEE"/>
    <w:rsid w:val="004D500B"/>
    <w:rsid w:val="004D5293"/>
    <w:rsid w:val="004D5D67"/>
    <w:rsid w:val="004D67EB"/>
    <w:rsid w:val="004D6960"/>
    <w:rsid w:val="004D78A3"/>
    <w:rsid w:val="004E02C8"/>
    <w:rsid w:val="004E0437"/>
    <w:rsid w:val="004E0A0C"/>
    <w:rsid w:val="004E19CA"/>
    <w:rsid w:val="004E1AE6"/>
    <w:rsid w:val="004E1C75"/>
    <w:rsid w:val="004E220F"/>
    <w:rsid w:val="004E2906"/>
    <w:rsid w:val="004E2A7B"/>
    <w:rsid w:val="004E2AC2"/>
    <w:rsid w:val="004E340C"/>
    <w:rsid w:val="004E3C1A"/>
    <w:rsid w:val="004E3E7B"/>
    <w:rsid w:val="004E3F9E"/>
    <w:rsid w:val="004E4070"/>
    <w:rsid w:val="004E51A9"/>
    <w:rsid w:val="004E54F8"/>
    <w:rsid w:val="004E58BF"/>
    <w:rsid w:val="004E5D59"/>
    <w:rsid w:val="004E6292"/>
    <w:rsid w:val="004E78BA"/>
    <w:rsid w:val="004E7F69"/>
    <w:rsid w:val="004F0337"/>
    <w:rsid w:val="004F0D59"/>
    <w:rsid w:val="004F1174"/>
    <w:rsid w:val="004F31D8"/>
    <w:rsid w:val="004F3E1D"/>
    <w:rsid w:val="004F3F53"/>
    <w:rsid w:val="004F424C"/>
    <w:rsid w:val="004F5AB6"/>
    <w:rsid w:val="004F665D"/>
    <w:rsid w:val="00501A59"/>
    <w:rsid w:val="00501E86"/>
    <w:rsid w:val="00502183"/>
    <w:rsid w:val="00502512"/>
    <w:rsid w:val="005031B9"/>
    <w:rsid w:val="00504DE7"/>
    <w:rsid w:val="00504E77"/>
    <w:rsid w:val="00505D5D"/>
    <w:rsid w:val="00506D6F"/>
    <w:rsid w:val="00506E40"/>
    <w:rsid w:val="005072BA"/>
    <w:rsid w:val="005077F5"/>
    <w:rsid w:val="00510F81"/>
    <w:rsid w:val="00511D95"/>
    <w:rsid w:val="005122A4"/>
    <w:rsid w:val="00512380"/>
    <w:rsid w:val="00512CCE"/>
    <w:rsid w:val="005139EA"/>
    <w:rsid w:val="00513C4B"/>
    <w:rsid w:val="00513EEC"/>
    <w:rsid w:val="00515863"/>
    <w:rsid w:val="005170C3"/>
    <w:rsid w:val="00521A4F"/>
    <w:rsid w:val="00522643"/>
    <w:rsid w:val="0052420E"/>
    <w:rsid w:val="0052463A"/>
    <w:rsid w:val="005259D8"/>
    <w:rsid w:val="005261BC"/>
    <w:rsid w:val="005262CC"/>
    <w:rsid w:val="00527C30"/>
    <w:rsid w:val="00530A3F"/>
    <w:rsid w:val="005315BE"/>
    <w:rsid w:val="0053188B"/>
    <w:rsid w:val="00531F79"/>
    <w:rsid w:val="00532E68"/>
    <w:rsid w:val="005339D6"/>
    <w:rsid w:val="00534828"/>
    <w:rsid w:val="00534BF9"/>
    <w:rsid w:val="00535348"/>
    <w:rsid w:val="0053631C"/>
    <w:rsid w:val="00537A76"/>
    <w:rsid w:val="005402B2"/>
    <w:rsid w:val="0054049C"/>
    <w:rsid w:val="00540C9F"/>
    <w:rsid w:val="00541440"/>
    <w:rsid w:val="00541B3B"/>
    <w:rsid w:val="00541BF4"/>
    <w:rsid w:val="00541E3A"/>
    <w:rsid w:val="00541FAE"/>
    <w:rsid w:val="00542AF1"/>
    <w:rsid w:val="005451BC"/>
    <w:rsid w:val="00546035"/>
    <w:rsid w:val="00547225"/>
    <w:rsid w:val="00547931"/>
    <w:rsid w:val="00547B24"/>
    <w:rsid w:val="005509B0"/>
    <w:rsid w:val="00551131"/>
    <w:rsid w:val="005519A2"/>
    <w:rsid w:val="00551D86"/>
    <w:rsid w:val="00552E73"/>
    <w:rsid w:val="00552ED0"/>
    <w:rsid w:val="00555415"/>
    <w:rsid w:val="0055697E"/>
    <w:rsid w:val="0055772D"/>
    <w:rsid w:val="00561A88"/>
    <w:rsid w:val="005625AE"/>
    <w:rsid w:val="00562845"/>
    <w:rsid w:val="00562C10"/>
    <w:rsid w:val="00563C9F"/>
    <w:rsid w:val="005644A4"/>
    <w:rsid w:val="00564963"/>
    <w:rsid w:val="005656C3"/>
    <w:rsid w:val="0056591C"/>
    <w:rsid w:val="00565C30"/>
    <w:rsid w:val="00566A07"/>
    <w:rsid w:val="00567D14"/>
    <w:rsid w:val="005701DE"/>
    <w:rsid w:val="00570403"/>
    <w:rsid w:val="00571472"/>
    <w:rsid w:val="005732B2"/>
    <w:rsid w:val="005732B3"/>
    <w:rsid w:val="00575405"/>
    <w:rsid w:val="00575BD3"/>
    <w:rsid w:val="00576D9F"/>
    <w:rsid w:val="0057717A"/>
    <w:rsid w:val="005771EE"/>
    <w:rsid w:val="00580CB8"/>
    <w:rsid w:val="00580F01"/>
    <w:rsid w:val="00581268"/>
    <w:rsid w:val="00582486"/>
    <w:rsid w:val="00583198"/>
    <w:rsid w:val="005832ED"/>
    <w:rsid w:val="00583778"/>
    <w:rsid w:val="00583838"/>
    <w:rsid w:val="00583DA7"/>
    <w:rsid w:val="00584ABD"/>
    <w:rsid w:val="005852DD"/>
    <w:rsid w:val="0058559A"/>
    <w:rsid w:val="005855BD"/>
    <w:rsid w:val="005905A5"/>
    <w:rsid w:val="00590810"/>
    <w:rsid w:val="00590B77"/>
    <w:rsid w:val="00593A8A"/>
    <w:rsid w:val="00593DF0"/>
    <w:rsid w:val="005946B4"/>
    <w:rsid w:val="00594847"/>
    <w:rsid w:val="00594EED"/>
    <w:rsid w:val="00595136"/>
    <w:rsid w:val="00595611"/>
    <w:rsid w:val="00595C94"/>
    <w:rsid w:val="00597130"/>
    <w:rsid w:val="005A04B7"/>
    <w:rsid w:val="005A2402"/>
    <w:rsid w:val="005A2741"/>
    <w:rsid w:val="005A2FE7"/>
    <w:rsid w:val="005A4390"/>
    <w:rsid w:val="005A4A2F"/>
    <w:rsid w:val="005A7846"/>
    <w:rsid w:val="005A7CB7"/>
    <w:rsid w:val="005B05E6"/>
    <w:rsid w:val="005B1BF1"/>
    <w:rsid w:val="005B45D9"/>
    <w:rsid w:val="005B4AE3"/>
    <w:rsid w:val="005B4ECF"/>
    <w:rsid w:val="005B6C28"/>
    <w:rsid w:val="005B7D28"/>
    <w:rsid w:val="005C15CD"/>
    <w:rsid w:val="005C27B9"/>
    <w:rsid w:val="005C29BA"/>
    <w:rsid w:val="005C2CBB"/>
    <w:rsid w:val="005C43C6"/>
    <w:rsid w:val="005C64B2"/>
    <w:rsid w:val="005C7710"/>
    <w:rsid w:val="005C7EAD"/>
    <w:rsid w:val="005D0A35"/>
    <w:rsid w:val="005D13AF"/>
    <w:rsid w:val="005D1A77"/>
    <w:rsid w:val="005D2361"/>
    <w:rsid w:val="005D236D"/>
    <w:rsid w:val="005D299A"/>
    <w:rsid w:val="005D2DD7"/>
    <w:rsid w:val="005D39CA"/>
    <w:rsid w:val="005D4279"/>
    <w:rsid w:val="005D4F03"/>
    <w:rsid w:val="005D59ED"/>
    <w:rsid w:val="005D668B"/>
    <w:rsid w:val="005D6834"/>
    <w:rsid w:val="005D742B"/>
    <w:rsid w:val="005D7AE4"/>
    <w:rsid w:val="005D7E1A"/>
    <w:rsid w:val="005E04E6"/>
    <w:rsid w:val="005E0614"/>
    <w:rsid w:val="005E06C5"/>
    <w:rsid w:val="005E0F33"/>
    <w:rsid w:val="005E6295"/>
    <w:rsid w:val="005E7AB9"/>
    <w:rsid w:val="005F011C"/>
    <w:rsid w:val="005F0B28"/>
    <w:rsid w:val="005F1B82"/>
    <w:rsid w:val="005F3A01"/>
    <w:rsid w:val="005F43BD"/>
    <w:rsid w:val="005F4765"/>
    <w:rsid w:val="005F4A84"/>
    <w:rsid w:val="005F5E2C"/>
    <w:rsid w:val="005F6A4B"/>
    <w:rsid w:val="005F6D8C"/>
    <w:rsid w:val="006000D8"/>
    <w:rsid w:val="0060047E"/>
    <w:rsid w:val="00600CA1"/>
    <w:rsid w:val="006034AA"/>
    <w:rsid w:val="00604248"/>
    <w:rsid w:val="00604A97"/>
    <w:rsid w:val="00605B7C"/>
    <w:rsid w:val="006079E2"/>
    <w:rsid w:val="00611EFC"/>
    <w:rsid w:val="00611FAC"/>
    <w:rsid w:val="006123E4"/>
    <w:rsid w:val="00612C4B"/>
    <w:rsid w:val="00613592"/>
    <w:rsid w:val="00613CA5"/>
    <w:rsid w:val="0061432D"/>
    <w:rsid w:val="00614394"/>
    <w:rsid w:val="00614787"/>
    <w:rsid w:val="006154E7"/>
    <w:rsid w:val="00616119"/>
    <w:rsid w:val="00616BFF"/>
    <w:rsid w:val="006174A6"/>
    <w:rsid w:val="006206AD"/>
    <w:rsid w:val="00620A3A"/>
    <w:rsid w:val="00621641"/>
    <w:rsid w:val="00621DAE"/>
    <w:rsid w:val="00621DCA"/>
    <w:rsid w:val="00622CD9"/>
    <w:rsid w:val="00624EBC"/>
    <w:rsid w:val="00625D65"/>
    <w:rsid w:val="006267AC"/>
    <w:rsid w:val="0062687A"/>
    <w:rsid w:val="00626BA6"/>
    <w:rsid w:val="00627AA9"/>
    <w:rsid w:val="00630424"/>
    <w:rsid w:val="00632689"/>
    <w:rsid w:val="00632D6E"/>
    <w:rsid w:val="006331A2"/>
    <w:rsid w:val="0063513E"/>
    <w:rsid w:val="006371A8"/>
    <w:rsid w:val="00640690"/>
    <w:rsid w:val="00640A09"/>
    <w:rsid w:val="00640CC5"/>
    <w:rsid w:val="00640E10"/>
    <w:rsid w:val="006415ED"/>
    <w:rsid w:val="00641825"/>
    <w:rsid w:val="00643974"/>
    <w:rsid w:val="00643E98"/>
    <w:rsid w:val="00644D39"/>
    <w:rsid w:val="006454FC"/>
    <w:rsid w:val="00647D85"/>
    <w:rsid w:val="00647FA7"/>
    <w:rsid w:val="006507E6"/>
    <w:rsid w:val="00650AB8"/>
    <w:rsid w:val="006511B3"/>
    <w:rsid w:val="006517C5"/>
    <w:rsid w:val="00651C8E"/>
    <w:rsid w:val="00651D5C"/>
    <w:rsid w:val="006527C5"/>
    <w:rsid w:val="006527FF"/>
    <w:rsid w:val="00652BB6"/>
    <w:rsid w:val="006530F3"/>
    <w:rsid w:val="00654355"/>
    <w:rsid w:val="00656531"/>
    <w:rsid w:val="0065658A"/>
    <w:rsid w:val="00656A5A"/>
    <w:rsid w:val="00660262"/>
    <w:rsid w:val="006609B2"/>
    <w:rsid w:val="006614B8"/>
    <w:rsid w:val="0066345C"/>
    <w:rsid w:val="00665302"/>
    <w:rsid w:val="0066544E"/>
    <w:rsid w:val="006658CA"/>
    <w:rsid w:val="00665A53"/>
    <w:rsid w:val="00665B37"/>
    <w:rsid w:val="00665F20"/>
    <w:rsid w:val="0066668A"/>
    <w:rsid w:val="00667F52"/>
    <w:rsid w:val="00670165"/>
    <w:rsid w:val="00670846"/>
    <w:rsid w:val="006710EA"/>
    <w:rsid w:val="00671772"/>
    <w:rsid w:val="00671D01"/>
    <w:rsid w:val="00672420"/>
    <w:rsid w:val="00672BBB"/>
    <w:rsid w:val="00672DFB"/>
    <w:rsid w:val="00673FAA"/>
    <w:rsid w:val="00675213"/>
    <w:rsid w:val="006756C6"/>
    <w:rsid w:val="00675AEE"/>
    <w:rsid w:val="006763D7"/>
    <w:rsid w:val="0067748E"/>
    <w:rsid w:val="00680BCA"/>
    <w:rsid w:val="006816A8"/>
    <w:rsid w:val="00682E13"/>
    <w:rsid w:val="006832BF"/>
    <w:rsid w:val="006842BA"/>
    <w:rsid w:val="00684913"/>
    <w:rsid w:val="006850BE"/>
    <w:rsid w:val="00686F73"/>
    <w:rsid w:val="006874A9"/>
    <w:rsid w:val="006878C3"/>
    <w:rsid w:val="006913A4"/>
    <w:rsid w:val="00691EA0"/>
    <w:rsid w:val="0069211A"/>
    <w:rsid w:val="006940FF"/>
    <w:rsid w:val="00696706"/>
    <w:rsid w:val="00696940"/>
    <w:rsid w:val="00697235"/>
    <w:rsid w:val="006972C3"/>
    <w:rsid w:val="006A00F3"/>
    <w:rsid w:val="006A0A76"/>
    <w:rsid w:val="006A0CCB"/>
    <w:rsid w:val="006A154F"/>
    <w:rsid w:val="006A272E"/>
    <w:rsid w:val="006A2850"/>
    <w:rsid w:val="006A463F"/>
    <w:rsid w:val="006A4DAE"/>
    <w:rsid w:val="006A6BBC"/>
    <w:rsid w:val="006A6D14"/>
    <w:rsid w:val="006A785F"/>
    <w:rsid w:val="006B0C42"/>
    <w:rsid w:val="006B3A39"/>
    <w:rsid w:val="006B3E0A"/>
    <w:rsid w:val="006B4213"/>
    <w:rsid w:val="006B4403"/>
    <w:rsid w:val="006B4685"/>
    <w:rsid w:val="006B4BCA"/>
    <w:rsid w:val="006B51B1"/>
    <w:rsid w:val="006B6723"/>
    <w:rsid w:val="006B6BE1"/>
    <w:rsid w:val="006B6DFF"/>
    <w:rsid w:val="006B733A"/>
    <w:rsid w:val="006B7767"/>
    <w:rsid w:val="006B7FF3"/>
    <w:rsid w:val="006C047F"/>
    <w:rsid w:val="006C0A45"/>
    <w:rsid w:val="006C13A8"/>
    <w:rsid w:val="006C2792"/>
    <w:rsid w:val="006C28F8"/>
    <w:rsid w:val="006C358F"/>
    <w:rsid w:val="006C4CEA"/>
    <w:rsid w:val="006C6F20"/>
    <w:rsid w:val="006C70CA"/>
    <w:rsid w:val="006D014D"/>
    <w:rsid w:val="006D0D26"/>
    <w:rsid w:val="006D0E84"/>
    <w:rsid w:val="006D0F19"/>
    <w:rsid w:val="006D1BA2"/>
    <w:rsid w:val="006D2C05"/>
    <w:rsid w:val="006D2F61"/>
    <w:rsid w:val="006D3B73"/>
    <w:rsid w:val="006D3FBE"/>
    <w:rsid w:val="006D42A2"/>
    <w:rsid w:val="006D63C2"/>
    <w:rsid w:val="006D6D60"/>
    <w:rsid w:val="006D71A3"/>
    <w:rsid w:val="006E0377"/>
    <w:rsid w:val="006E1F3F"/>
    <w:rsid w:val="006E217A"/>
    <w:rsid w:val="006E2BF5"/>
    <w:rsid w:val="006E36E5"/>
    <w:rsid w:val="006E4D3A"/>
    <w:rsid w:val="006E5861"/>
    <w:rsid w:val="006E6293"/>
    <w:rsid w:val="006E66CD"/>
    <w:rsid w:val="006E6F7E"/>
    <w:rsid w:val="006F05E3"/>
    <w:rsid w:val="006F2BB5"/>
    <w:rsid w:val="006F3A11"/>
    <w:rsid w:val="006F3E17"/>
    <w:rsid w:val="006F58E1"/>
    <w:rsid w:val="006F652C"/>
    <w:rsid w:val="007016A0"/>
    <w:rsid w:val="00701D30"/>
    <w:rsid w:val="00701D7B"/>
    <w:rsid w:val="00701E10"/>
    <w:rsid w:val="0070250A"/>
    <w:rsid w:val="00702932"/>
    <w:rsid w:val="00703447"/>
    <w:rsid w:val="00705D58"/>
    <w:rsid w:val="00706934"/>
    <w:rsid w:val="007078D2"/>
    <w:rsid w:val="00710632"/>
    <w:rsid w:val="007107F3"/>
    <w:rsid w:val="00710FF8"/>
    <w:rsid w:val="00711851"/>
    <w:rsid w:val="00711E31"/>
    <w:rsid w:val="00712E42"/>
    <w:rsid w:val="00713263"/>
    <w:rsid w:val="00714594"/>
    <w:rsid w:val="007156CB"/>
    <w:rsid w:val="00720EAB"/>
    <w:rsid w:val="00720FCE"/>
    <w:rsid w:val="007216DC"/>
    <w:rsid w:val="00724429"/>
    <w:rsid w:val="007257F3"/>
    <w:rsid w:val="00725845"/>
    <w:rsid w:val="00726E87"/>
    <w:rsid w:val="00727EAC"/>
    <w:rsid w:val="00730282"/>
    <w:rsid w:val="00730C91"/>
    <w:rsid w:val="00731AD1"/>
    <w:rsid w:val="007325EC"/>
    <w:rsid w:val="00733E7B"/>
    <w:rsid w:val="007355E4"/>
    <w:rsid w:val="00735E03"/>
    <w:rsid w:val="00736DA8"/>
    <w:rsid w:val="00737102"/>
    <w:rsid w:val="007374DF"/>
    <w:rsid w:val="00740C81"/>
    <w:rsid w:val="007415A1"/>
    <w:rsid w:val="00741742"/>
    <w:rsid w:val="00741982"/>
    <w:rsid w:val="0074220A"/>
    <w:rsid w:val="00742996"/>
    <w:rsid w:val="00742A28"/>
    <w:rsid w:val="00742DB1"/>
    <w:rsid w:val="007433F0"/>
    <w:rsid w:val="00743605"/>
    <w:rsid w:val="00745296"/>
    <w:rsid w:val="0074540C"/>
    <w:rsid w:val="00746AB9"/>
    <w:rsid w:val="00747D04"/>
    <w:rsid w:val="00747F61"/>
    <w:rsid w:val="007501EB"/>
    <w:rsid w:val="007504EB"/>
    <w:rsid w:val="0075066E"/>
    <w:rsid w:val="00750866"/>
    <w:rsid w:val="00750AEC"/>
    <w:rsid w:val="00751A49"/>
    <w:rsid w:val="007520F2"/>
    <w:rsid w:val="007530A6"/>
    <w:rsid w:val="00754010"/>
    <w:rsid w:val="00756610"/>
    <w:rsid w:val="00760416"/>
    <w:rsid w:val="007608A4"/>
    <w:rsid w:val="00762726"/>
    <w:rsid w:val="00762B33"/>
    <w:rsid w:val="00763314"/>
    <w:rsid w:val="00764E0C"/>
    <w:rsid w:val="007656F9"/>
    <w:rsid w:val="0076577E"/>
    <w:rsid w:val="007657F2"/>
    <w:rsid w:val="00765EBF"/>
    <w:rsid w:val="00766C76"/>
    <w:rsid w:val="00767BC5"/>
    <w:rsid w:val="00767F61"/>
    <w:rsid w:val="00770136"/>
    <w:rsid w:val="0077019E"/>
    <w:rsid w:val="00772595"/>
    <w:rsid w:val="00772682"/>
    <w:rsid w:val="00773A91"/>
    <w:rsid w:val="00774BB4"/>
    <w:rsid w:val="0077563D"/>
    <w:rsid w:val="007757CF"/>
    <w:rsid w:val="007768BE"/>
    <w:rsid w:val="007804BB"/>
    <w:rsid w:val="0078055E"/>
    <w:rsid w:val="007806CB"/>
    <w:rsid w:val="00780831"/>
    <w:rsid w:val="00780FE1"/>
    <w:rsid w:val="00781D71"/>
    <w:rsid w:val="00782267"/>
    <w:rsid w:val="00782340"/>
    <w:rsid w:val="00783441"/>
    <w:rsid w:val="00783704"/>
    <w:rsid w:val="00783DED"/>
    <w:rsid w:val="00784421"/>
    <w:rsid w:val="0078574D"/>
    <w:rsid w:val="0078598B"/>
    <w:rsid w:val="00786117"/>
    <w:rsid w:val="007905C7"/>
    <w:rsid w:val="00790808"/>
    <w:rsid w:val="007936C7"/>
    <w:rsid w:val="00793C35"/>
    <w:rsid w:val="00793E92"/>
    <w:rsid w:val="00794055"/>
    <w:rsid w:val="007944A1"/>
    <w:rsid w:val="00795F3E"/>
    <w:rsid w:val="00796300"/>
    <w:rsid w:val="0079668B"/>
    <w:rsid w:val="00796EA9"/>
    <w:rsid w:val="00796F67"/>
    <w:rsid w:val="0079739E"/>
    <w:rsid w:val="007A0AA8"/>
    <w:rsid w:val="007A0DF4"/>
    <w:rsid w:val="007A0F88"/>
    <w:rsid w:val="007A567B"/>
    <w:rsid w:val="007A68FF"/>
    <w:rsid w:val="007A74B2"/>
    <w:rsid w:val="007A7F8B"/>
    <w:rsid w:val="007B0FC2"/>
    <w:rsid w:val="007B1C71"/>
    <w:rsid w:val="007B1F0B"/>
    <w:rsid w:val="007B261A"/>
    <w:rsid w:val="007B2943"/>
    <w:rsid w:val="007B29C8"/>
    <w:rsid w:val="007B335E"/>
    <w:rsid w:val="007B3BA9"/>
    <w:rsid w:val="007B3E06"/>
    <w:rsid w:val="007B4811"/>
    <w:rsid w:val="007B4ADC"/>
    <w:rsid w:val="007B60D5"/>
    <w:rsid w:val="007B6D88"/>
    <w:rsid w:val="007B7509"/>
    <w:rsid w:val="007B77A0"/>
    <w:rsid w:val="007C098F"/>
    <w:rsid w:val="007C157B"/>
    <w:rsid w:val="007C181B"/>
    <w:rsid w:val="007C288B"/>
    <w:rsid w:val="007C2935"/>
    <w:rsid w:val="007C35A3"/>
    <w:rsid w:val="007C5F1D"/>
    <w:rsid w:val="007C736F"/>
    <w:rsid w:val="007D0131"/>
    <w:rsid w:val="007D0999"/>
    <w:rsid w:val="007D0F08"/>
    <w:rsid w:val="007D24DD"/>
    <w:rsid w:val="007D3338"/>
    <w:rsid w:val="007D4378"/>
    <w:rsid w:val="007D5E30"/>
    <w:rsid w:val="007D6522"/>
    <w:rsid w:val="007D6809"/>
    <w:rsid w:val="007D77B1"/>
    <w:rsid w:val="007D784D"/>
    <w:rsid w:val="007D79EF"/>
    <w:rsid w:val="007D7F0E"/>
    <w:rsid w:val="007E066F"/>
    <w:rsid w:val="007E1652"/>
    <w:rsid w:val="007E20F5"/>
    <w:rsid w:val="007E28B5"/>
    <w:rsid w:val="007E50AF"/>
    <w:rsid w:val="007E7206"/>
    <w:rsid w:val="007E7B8D"/>
    <w:rsid w:val="007E7E96"/>
    <w:rsid w:val="007F09F2"/>
    <w:rsid w:val="007F159B"/>
    <w:rsid w:val="007F15C6"/>
    <w:rsid w:val="007F32CF"/>
    <w:rsid w:val="007F3D7E"/>
    <w:rsid w:val="007F4167"/>
    <w:rsid w:val="007F41CC"/>
    <w:rsid w:val="007F4B3F"/>
    <w:rsid w:val="007F56D6"/>
    <w:rsid w:val="007F6EBF"/>
    <w:rsid w:val="007F735B"/>
    <w:rsid w:val="007F7992"/>
    <w:rsid w:val="008004E9"/>
    <w:rsid w:val="008008F5"/>
    <w:rsid w:val="00800E18"/>
    <w:rsid w:val="0080125F"/>
    <w:rsid w:val="0080147B"/>
    <w:rsid w:val="00802519"/>
    <w:rsid w:val="00802D09"/>
    <w:rsid w:val="0080301A"/>
    <w:rsid w:val="00803BCD"/>
    <w:rsid w:val="00804104"/>
    <w:rsid w:val="00806433"/>
    <w:rsid w:val="0080736A"/>
    <w:rsid w:val="00811B0D"/>
    <w:rsid w:val="00811F7D"/>
    <w:rsid w:val="008123A0"/>
    <w:rsid w:val="0081261B"/>
    <w:rsid w:val="00812A81"/>
    <w:rsid w:val="00812C08"/>
    <w:rsid w:val="00814515"/>
    <w:rsid w:val="008147C8"/>
    <w:rsid w:val="008156F8"/>
    <w:rsid w:val="008172E9"/>
    <w:rsid w:val="0081734A"/>
    <w:rsid w:val="00820DB5"/>
    <w:rsid w:val="00821189"/>
    <w:rsid w:val="00821A6B"/>
    <w:rsid w:val="00821ACE"/>
    <w:rsid w:val="00821BA3"/>
    <w:rsid w:val="00822658"/>
    <w:rsid w:val="00822C28"/>
    <w:rsid w:val="00823851"/>
    <w:rsid w:val="00823E3C"/>
    <w:rsid w:val="00823EE3"/>
    <w:rsid w:val="008251C6"/>
    <w:rsid w:val="008254BD"/>
    <w:rsid w:val="00826B04"/>
    <w:rsid w:val="00826B19"/>
    <w:rsid w:val="008276DF"/>
    <w:rsid w:val="0083059B"/>
    <w:rsid w:val="00831117"/>
    <w:rsid w:val="008326A7"/>
    <w:rsid w:val="008327F1"/>
    <w:rsid w:val="00833695"/>
    <w:rsid w:val="008338CF"/>
    <w:rsid w:val="008366C1"/>
    <w:rsid w:val="00836B4F"/>
    <w:rsid w:val="008371CA"/>
    <w:rsid w:val="008376F8"/>
    <w:rsid w:val="00841D66"/>
    <w:rsid w:val="00842BD6"/>
    <w:rsid w:val="00842D09"/>
    <w:rsid w:val="00842F9A"/>
    <w:rsid w:val="008433E8"/>
    <w:rsid w:val="00843D45"/>
    <w:rsid w:val="00844B62"/>
    <w:rsid w:val="008454DE"/>
    <w:rsid w:val="00845EEB"/>
    <w:rsid w:val="00846535"/>
    <w:rsid w:val="00846971"/>
    <w:rsid w:val="008505F1"/>
    <w:rsid w:val="0085061B"/>
    <w:rsid w:val="00851E43"/>
    <w:rsid w:val="00851FB0"/>
    <w:rsid w:val="008528C4"/>
    <w:rsid w:val="00852EB2"/>
    <w:rsid w:val="00852FFB"/>
    <w:rsid w:val="0085336D"/>
    <w:rsid w:val="00853981"/>
    <w:rsid w:val="00853E3A"/>
    <w:rsid w:val="00854116"/>
    <w:rsid w:val="008543C5"/>
    <w:rsid w:val="00854C97"/>
    <w:rsid w:val="00854DE1"/>
    <w:rsid w:val="00855BE4"/>
    <w:rsid w:val="008560F6"/>
    <w:rsid w:val="008562EC"/>
    <w:rsid w:val="0085771D"/>
    <w:rsid w:val="008600D4"/>
    <w:rsid w:val="0086044D"/>
    <w:rsid w:val="00860E96"/>
    <w:rsid w:val="00860EDD"/>
    <w:rsid w:val="0086165A"/>
    <w:rsid w:val="00862A53"/>
    <w:rsid w:val="008631BD"/>
    <w:rsid w:val="0086342B"/>
    <w:rsid w:val="00864720"/>
    <w:rsid w:val="00865600"/>
    <w:rsid w:val="008658F0"/>
    <w:rsid w:val="00865E8C"/>
    <w:rsid w:val="008665DA"/>
    <w:rsid w:val="00866C20"/>
    <w:rsid w:val="0086740F"/>
    <w:rsid w:val="00867F7C"/>
    <w:rsid w:val="00870950"/>
    <w:rsid w:val="00870FB0"/>
    <w:rsid w:val="00871641"/>
    <w:rsid w:val="00871847"/>
    <w:rsid w:val="00871CF2"/>
    <w:rsid w:val="00871F8B"/>
    <w:rsid w:val="008720A3"/>
    <w:rsid w:val="0087361F"/>
    <w:rsid w:val="00874A81"/>
    <w:rsid w:val="0087564F"/>
    <w:rsid w:val="00875AF9"/>
    <w:rsid w:val="008774CB"/>
    <w:rsid w:val="00877F5F"/>
    <w:rsid w:val="00880082"/>
    <w:rsid w:val="00880B3B"/>
    <w:rsid w:val="00880E69"/>
    <w:rsid w:val="0088200A"/>
    <w:rsid w:val="00883505"/>
    <w:rsid w:val="008851CA"/>
    <w:rsid w:val="0088550D"/>
    <w:rsid w:val="0088555B"/>
    <w:rsid w:val="00885971"/>
    <w:rsid w:val="00886908"/>
    <w:rsid w:val="008879E4"/>
    <w:rsid w:val="00891050"/>
    <w:rsid w:val="0089113D"/>
    <w:rsid w:val="0089123B"/>
    <w:rsid w:val="00892519"/>
    <w:rsid w:val="00892885"/>
    <w:rsid w:val="00893212"/>
    <w:rsid w:val="00893A39"/>
    <w:rsid w:val="00893B80"/>
    <w:rsid w:val="008950FB"/>
    <w:rsid w:val="00895A0F"/>
    <w:rsid w:val="00895B0E"/>
    <w:rsid w:val="0089616B"/>
    <w:rsid w:val="008A0215"/>
    <w:rsid w:val="008A031E"/>
    <w:rsid w:val="008A0326"/>
    <w:rsid w:val="008A1327"/>
    <w:rsid w:val="008A140F"/>
    <w:rsid w:val="008A173B"/>
    <w:rsid w:val="008A187F"/>
    <w:rsid w:val="008A1BCF"/>
    <w:rsid w:val="008A2F34"/>
    <w:rsid w:val="008A3101"/>
    <w:rsid w:val="008A3D1F"/>
    <w:rsid w:val="008A3F5E"/>
    <w:rsid w:val="008A48ED"/>
    <w:rsid w:val="008A4ACA"/>
    <w:rsid w:val="008A4F78"/>
    <w:rsid w:val="008A5AC8"/>
    <w:rsid w:val="008A61AD"/>
    <w:rsid w:val="008A6FB1"/>
    <w:rsid w:val="008A7576"/>
    <w:rsid w:val="008B00A2"/>
    <w:rsid w:val="008B19D6"/>
    <w:rsid w:val="008B1E84"/>
    <w:rsid w:val="008B22A4"/>
    <w:rsid w:val="008B2999"/>
    <w:rsid w:val="008B3E16"/>
    <w:rsid w:val="008B4C8A"/>
    <w:rsid w:val="008B4E46"/>
    <w:rsid w:val="008B58B5"/>
    <w:rsid w:val="008B7DC6"/>
    <w:rsid w:val="008C0C89"/>
    <w:rsid w:val="008C0EDD"/>
    <w:rsid w:val="008C19EF"/>
    <w:rsid w:val="008C222D"/>
    <w:rsid w:val="008C278A"/>
    <w:rsid w:val="008C3FA1"/>
    <w:rsid w:val="008C40CF"/>
    <w:rsid w:val="008C5F56"/>
    <w:rsid w:val="008C622E"/>
    <w:rsid w:val="008C7F85"/>
    <w:rsid w:val="008D05EC"/>
    <w:rsid w:val="008D0B94"/>
    <w:rsid w:val="008D191B"/>
    <w:rsid w:val="008D2B1A"/>
    <w:rsid w:val="008D3276"/>
    <w:rsid w:val="008D3F44"/>
    <w:rsid w:val="008D4580"/>
    <w:rsid w:val="008D46F0"/>
    <w:rsid w:val="008D5636"/>
    <w:rsid w:val="008E1385"/>
    <w:rsid w:val="008E13B0"/>
    <w:rsid w:val="008E3755"/>
    <w:rsid w:val="008E5546"/>
    <w:rsid w:val="008E5700"/>
    <w:rsid w:val="008E6955"/>
    <w:rsid w:val="008F082B"/>
    <w:rsid w:val="008F232E"/>
    <w:rsid w:val="008F2DCC"/>
    <w:rsid w:val="008F2F5D"/>
    <w:rsid w:val="008F3F35"/>
    <w:rsid w:val="008F4937"/>
    <w:rsid w:val="008F4B05"/>
    <w:rsid w:val="008F54B6"/>
    <w:rsid w:val="008F550C"/>
    <w:rsid w:val="008F5AAD"/>
    <w:rsid w:val="008F5D79"/>
    <w:rsid w:val="008F680C"/>
    <w:rsid w:val="008F7237"/>
    <w:rsid w:val="008F7A53"/>
    <w:rsid w:val="009011DD"/>
    <w:rsid w:val="009035C3"/>
    <w:rsid w:val="00903C38"/>
    <w:rsid w:val="009041FC"/>
    <w:rsid w:val="0090502E"/>
    <w:rsid w:val="009074F3"/>
    <w:rsid w:val="00912A15"/>
    <w:rsid w:val="0091483E"/>
    <w:rsid w:val="009153A4"/>
    <w:rsid w:val="00915420"/>
    <w:rsid w:val="009178D4"/>
    <w:rsid w:val="0092007A"/>
    <w:rsid w:val="00920128"/>
    <w:rsid w:val="009204F7"/>
    <w:rsid w:val="00920F35"/>
    <w:rsid w:val="00921947"/>
    <w:rsid w:val="00921BA3"/>
    <w:rsid w:val="00922ECA"/>
    <w:rsid w:val="009237F7"/>
    <w:rsid w:val="009239D5"/>
    <w:rsid w:val="009244A7"/>
    <w:rsid w:val="0093127D"/>
    <w:rsid w:val="00931BAC"/>
    <w:rsid w:val="00932612"/>
    <w:rsid w:val="00932775"/>
    <w:rsid w:val="00933B79"/>
    <w:rsid w:val="009344D9"/>
    <w:rsid w:val="00934E0C"/>
    <w:rsid w:val="009379AD"/>
    <w:rsid w:val="00937A69"/>
    <w:rsid w:val="00937E21"/>
    <w:rsid w:val="00937E4B"/>
    <w:rsid w:val="009408F1"/>
    <w:rsid w:val="00940B10"/>
    <w:rsid w:val="00940B5A"/>
    <w:rsid w:val="00941419"/>
    <w:rsid w:val="009418F6"/>
    <w:rsid w:val="00941A0C"/>
    <w:rsid w:val="00942180"/>
    <w:rsid w:val="0094387B"/>
    <w:rsid w:val="00943E71"/>
    <w:rsid w:val="00944364"/>
    <w:rsid w:val="00944565"/>
    <w:rsid w:val="009456B5"/>
    <w:rsid w:val="00945A6F"/>
    <w:rsid w:val="009469DE"/>
    <w:rsid w:val="009469E5"/>
    <w:rsid w:val="00946A64"/>
    <w:rsid w:val="00947711"/>
    <w:rsid w:val="009512CA"/>
    <w:rsid w:val="0095164C"/>
    <w:rsid w:val="00951E9F"/>
    <w:rsid w:val="00952A55"/>
    <w:rsid w:val="00953360"/>
    <w:rsid w:val="00954776"/>
    <w:rsid w:val="009551A6"/>
    <w:rsid w:val="00956141"/>
    <w:rsid w:val="009565F5"/>
    <w:rsid w:val="00957255"/>
    <w:rsid w:val="00957720"/>
    <w:rsid w:val="009577D2"/>
    <w:rsid w:val="00957C59"/>
    <w:rsid w:val="00961472"/>
    <w:rsid w:val="00961729"/>
    <w:rsid w:val="00962D64"/>
    <w:rsid w:val="00962D92"/>
    <w:rsid w:val="00962DDD"/>
    <w:rsid w:val="00965B39"/>
    <w:rsid w:val="009679D4"/>
    <w:rsid w:val="00967AA9"/>
    <w:rsid w:val="009708B1"/>
    <w:rsid w:val="00970EA6"/>
    <w:rsid w:val="0097104B"/>
    <w:rsid w:val="0097186F"/>
    <w:rsid w:val="009723C6"/>
    <w:rsid w:val="00972504"/>
    <w:rsid w:val="00972E3D"/>
    <w:rsid w:val="00972ECB"/>
    <w:rsid w:val="00974350"/>
    <w:rsid w:val="00974B7B"/>
    <w:rsid w:val="009755F0"/>
    <w:rsid w:val="0097640B"/>
    <w:rsid w:val="00977119"/>
    <w:rsid w:val="009774C3"/>
    <w:rsid w:val="00977FEF"/>
    <w:rsid w:val="009804D9"/>
    <w:rsid w:val="00980932"/>
    <w:rsid w:val="0098109C"/>
    <w:rsid w:val="0098252E"/>
    <w:rsid w:val="00982B59"/>
    <w:rsid w:val="00983303"/>
    <w:rsid w:val="0098374E"/>
    <w:rsid w:val="00984399"/>
    <w:rsid w:val="00985385"/>
    <w:rsid w:val="009868CC"/>
    <w:rsid w:val="00987058"/>
    <w:rsid w:val="0099095C"/>
    <w:rsid w:val="009913B4"/>
    <w:rsid w:val="00992220"/>
    <w:rsid w:val="00993B7E"/>
    <w:rsid w:val="00994285"/>
    <w:rsid w:val="009947F3"/>
    <w:rsid w:val="00994FDC"/>
    <w:rsid w:val="009951E4"/>
    <w:rsid w:val="00995A6B"/>
    <w:rsid w:val="00995BEB"/>
    <w:rsid w:val="00995EAE"/>
    <w:rsid w:val="00995FE2"/>
    <w:rsid w:val="00996E8B"/>
    <w:rsid w:val="009971D9"/>
    <w:rsid w:val="009A0130"/>
    <w:rsid w:val="009A1385"/>
    <w:rsid w:val="009A1A44"/>
    <w:rsid w:val="009A1C9A"/>
    <w:rsid w:val="009A2471"/>
    <w:rsid w:val="009A272C"/>
    <w:rsid w:val="009A4CF9"/>
    <w:rsid w:val="009A5666"/>
    <w:rsid w:val="009A59BA"/>
    <w:rsid w:val="009B0616"/>
    <w:rsid w:val="009B07BC"/>
    <w:rsid w:val="009B1400"/>
    <w:rsid w:val="009B236A"/>
    <w:rsid w:val="009B289F"/>
    <w:rsid w:val="009B3431"/>
    <w:rsid w:val="009B4869"/>
    <w:rsid w:val="009B70E0"/>
    <w:rsid w:val="009B745D"/>
    <w:rsid w:val="009B7C53"/>
    <w:rsid w:val="009C06EA"/>
    <w:rsid w:val="009C1377"/>
    <w:rsid w:val="009C23B0"/>
    <w:rsid w:val="009C2821"/>
    <w:rsid w:val="009C29AF"/>
    <w:rsid w:val="009C360D"/>
    <w:rsid w:val="009C3F10"/>
    <w:rsid w:val="009C44D0"/>
    <w:rsid w:val="009C4AF6"/>
    <w:rsid w:val="009C528E"/>
    <w:rsid w:val="009C6789"/>
    <w:rsid w:val="009C6D49"/>
    <w:rsid w:val="009C6F79"/>
    <w:rsid w:val="009C70F9"/>
    <w:rsid w:val="009C7A67"/>
    <w:rsid w:val="009C7C4F"/>
    <w:rsid w:val="009C7D50"/>
    <w:rsid w:val="009D1159"/>
    <w:rsid w:val="009D1602"/>
    <w:rsid w:val="009D2375"/>
    <w:rsid w:val="009D2963"/>
    <w:rsid w:val="009D2D37"/>
    <w:rsid w:val="009D322C"/>
    <w:rsid w:val="009D419A"/>
    <w:rsid w:val="009D54FF"/>
    <w:rsid w:val="009D5716"/>
    <w:rsid w:val="009D5BDB"/>
    <w:rsid w:val="009D721D"/>
    <w:rsid w:val="009D7499"/>
    <w:rsid w:val="009E012A"/>
    <w:rsid w:val="009E03CB"/>
    <w:rsid w:val="009E0967"/>
    <w:rsid w:val="009E0BFE"/>
    <w:rsid w:val="009E1201"/>
    <w:rsid w:val="009E191B"/>
    <w:rsid w:val="009E1985"/>
    <w:rsid w:val="009E1AD0"/>
    <w:rsid w:val="009E26D0"/>
    <w:rsid w:val="009E2D87"/>
    <w:rsid w:val="009E3A5A"/>
    <w:rsid w:val="009E4405"/>
    <w:rsid w:val="009E6E68"/>
    <w:rsid w:val="009E796E"/>
    <w:rsid w:val="009F0587"/>
    <w:rsid w:val="009F109C"/>
    <w:rsid w:val="009F16A0"/>
    <w:rsid w:val="009F22A8"/>
    <w:rsid w:val="009F4F74"/>
    <w:rsid w:val="009F5912"/>
    <w:rsid w:val="009F603E"/>
    <w:rsid w:val="009F7137"/>
    <w:rsid w:val="009F73A1"/>
    <w:rsid w:val="00A00A2E"/>
    <w:rsid w:val="00A00CF3"/>
    <w:rsid w:val="00A01767"/>
    <w:rsid w:val="00A0264B"/>
    <w:rsid w:val="00A02ED3"/>
    <w:rsid w:val="00A03AF2"/>
    <w:rsid w:val="00A03D8F"/>
    <w:rsid w:val="00A04827"/>
    <w:rsid w:val="00A04CEE"/>
    <w:rsid w:val="00A04FD7"/>
    <w:rsid w:val="00A05EC3"/>
    <w:rsid w:val="00A071FC"/>
    <w:rsid w:val="00A1068F"/>
    <w:rsid w:val="00A10EE6"/>
    <w:rsid w:val="00A11B3F"/>
    <w:rsid w:val="00A12224"/>
    <w:rsid w:val="00A1245F"/>
    <w:rsid w:val="00A12FB0"/>
    <w:rsid w:val="00A1505B"/>
    <w:rsid w:val="00A15771"/>
    <w:rsid w:val="00A17512"/>
    <w:rsid w:val="00A17EC2"/>
    <w:rsid w:val="00A2275A"/>
    <w:rsid w:val="00A23139"/>
    <w:rsid w:val="00A231EB"/>
    <w:rsid w:val="00A23555"/>
    <w:rsid w:val="00A24B0B"/>
    <w:rsid w:val="00A24E72"/>
    <w:rsid w:val="00A24EA6"/>
    <w:rsid w:val="00A25504"/>
    <w:rsid w:val="00A25A39"/>
    <w:rsid w:val="00A25EBA"/>
    <w:rsid w:val="00A25FC8"/>
    <w:rsid w:val="00A260B9"/>
    <w:rsid w:val="00A2692F"/>
    <w:rsid w:val="00A26DE6"/>
    <w:rsid w:val="00A275A4"/>
    <w:rsid w:val="00A27A96"/>
    <w:rsid w:val="00A27E0B"/>
    <w:rsid w:val="00A27F05"/>
    <w:rsid w:val="00A3085B"/>
    <w:rsid w:val="00A30DD9"/>
    <w:rsid w:val="00A31C28"/>
    <w:rsid w:val="00A32825"/>
    <w:rsid w:val="00A33E75"/>
    <w:rsid w:val="00A3450C"/>
    <w:rsid w:val="00A34596"/>
    <w:rsid w:val="00A345C5"/>
    <w:rsid w:val="00A347C4"/>
    <w:rsid w:val="00A35377"/>
    <w:rsid w:val="00A41817"/>
    <w:rsid w:val="00A42954"/>
    <w:rsid w:val="00A42A66"/>
    <w:rsid w:val="00A43DB3"/>
    <w:rsid w:val="00A446FD"/>
    <w:rsid w:val="00A451E3"/>
    <w:rsid w:val="00A460B0"/>
    <w:rsid w:val="00A4780B"/>
    <w:rsid w:val="00A50F02"/>
    <w:rsid w:val="00A51289"/>
    <w:rsid w:val="00A5222B"/>
    <w:rsid w:val="00A525B9"/>
    <w:rsid w:val="00A53527"/>
    <w:rsid w:val="00A53B7B"/>
    <w:rsid w:val="00A541F4"/>
    <w:rsid w:val="00A55EAB"/>
    <w:rsid w:val="00A57BD4"/>
    <w:rsid w:val="00A602C2"/>
    <w:rsid w:val="00A60B3A"/>
    <w:rsid w:val="00A611D6"/>
    <w:rsid w:val="00A61435"/>
    <w:rsid w:val="00A61AEA"/>
    <w:rsid w:val="00A626F4"/>
    <w:rsid w:val="00A628CC"/>
    <w:rsid w:val="00A63C6C"/>
    <w:rsid w:val="00A662A9"/>
    <w:rsid w:val="00A663DD"/>
    <w:rsid w:val="00A67425"/>
    <w:rsid w:val="00A70429"/>
    <w:rsid w:val="00A71155"/>
    <w:rsid w:val="00A71C24"/>
    <w:rsid w:val="00A7285A"/>
    <w:rsid w:val="00A72D37"/>
    <w:rsid w:val="00A72E03"/>
    <w:rsid w:val="00A72FAA"/>
    <w:rsid w:val="00A73735"/>
    <w:rsid w:val="00A73B76"/>
    <w:rsid w:val="00A744AC"/>
    <w:rsid w:val="00A74CA2"/>
    <w:rsid w:val="00A76589"/>
    <w:rsid w:val="00A768BC"/>
    <w:rsid w:val="00A77E4A"/>
    <w:rsid w:val="00A80372"/>
    <w:rsid w:val="00A80942"/>
    <w:rsid w:val="00A811E2"/>
    <w:rsid w:val="00A8191C"/>
    <w:rsid w:val="00A81E1D"/>
    <w:rsid w:val="00A83396"/>
    <w:rsid w:val="00A8394C"/>
    <w:rsid w:val="00A840CD"/>
    <w:rsid w:val="00A845FA"/>
    <w:rsid w:val="00A84F55"/>
    <w:rsid w:val="00A8605E"/>
    <w:rsid w:val="00A86F6D"/>
    <w:rsid w:val="00A87829"/>
    <w:rsid w:val="00A87F42"/>
    <w:rsid w:val="00A9023E"/>
    <w:rsid w:val="00A9043A"/>
    <w:rsid w:val="00A90BA1"/>
    <w:rsid w:val="00A90C03"/>
    <w:rsid w:val="00A91A35"/>
    <w:rsid w:val="00A91A78"/>
    <w:rsid w:val="00A926F3"/>
    <w:rsid w:val="00A92AB1"/>
    <w:rsid w:val="00A92ED9"/>
    <w:rsid w:val="00A9327A"/>
    <w:rsid w:val="00A93855"/>
    <w:rsid w:val="00A93B3D"/>
    <w:rsid w:val="00A93EE5"/>
    <w:rsid w:val="00A9468E"/>
    <w:rsid w:val="00A94762"/>
    <w:rsid w:val="00A94D5B"/>
    <w:rsid w:val="00A94E4E"/>
    <w:rsid w:val="00A9501F"/>
    <w:rsid w:val="00A9539A"/>
    <w:rsid w:val="00A96436"/>
    <w:rsid w:val="00A969C4"/>
    <w:rsid w:val="00A97703"/>
    <w:rsid w:val="00AA1943"/>
    <w:rsid w:val="00AA1A32"/>
    <w:rsid w:val="00AA2AE5"/>
    <w:rsid w:val="00AA3331"/>
    <w:rsid w:val="00AA3767"/>
    <w:rsid w:val="00AA5A60"/>
    <w:rsid w:val="00AA66C6"/>
    <w:rsid w:val="00AA7796"/>
    <w:rsid w:val="00AB19E5"/>
    <w:rsid w:val="00AB1C96"/>
    <w:rsid w:val="00AB2824"/>
    <w:rsid w:val="00AB2FF6"/>
    <w:rsid w:val="00AB5839"/>
    <w:rsid w:val="00AB6F6F"/>
    <w:rsid w:val="00AC1474"/>
    <w:rsid w:val="00AC2E3E"/>
    <w:rsid w:val="00AC3071"/>
    <w:rsid w:val="00AC32BB"/>
    <w:rsid w:val="00AC334C"/>
    <w:rsid w:val="00AC35ED"/>
    <w:rsid w:val="00AC4D94"/>
    <w:rsid w:val="00AC4E6A"/>
    <w:rsid w:val="00AC5437"/>
    <w:rsid w:val="00AC58A4"/>
    <w:rsid w:val="00AC629F"/>
    <w:rsid w:val="00AC763F"/>
    <w:rsid w:val="00AC7897"/>
    <w:rsid w:val="00AD0587"/>
    <w:rsid w:val="00AD0B4D"/>
    <w:rsid w:val="00AD10F4"/>
    <w:rsid w:val="00AD1409"/>
    <w:rsid w:val="00AD1915"/>
    <w:rsid w:val="00AD225B"/>
    <w:rsid w:val="00AD275C"/>
    <w:rsid w:val="00AD2A44"/>
    <w:rsid w:val="00AD2F6D"/>
    <w:rsid w:val="00AD35E7"/>
    <w:rsid w:val="00AD365D"/>
    <w:rsid w:val="00AD458D"/>
    <w:rsid w:val="00AD48E3"/>
    <w:rsid w:val="00AD4D82"/>
    <w:rsid w:val="00AD520F"/>
    <w:rsid w:val="00AD5396"/>
    <w:rsid w:val="00AD559A"/>
    <w:rsid w:val="00AD6776"/>
    <w:rsid w:val="00AD7803"/>
    <w:rsid w:val="00AE0953"/>
    <w:rsid w:val="00AE0E5B"/>
    <w:rsid w:val="00AE323E"/>
    <w:rsid w:val="00AE4270"/>
    <w:rsid w:val="00AE4384"/>
    <w:rsid w:val="00AE49D4"/>
    <w:rsid w:val="00AE4B14"/>
    <w:rsid w:val="00AE571C"/>
    <w:rsid w:val="00AE5E0B"/>
    <w:rsid w:val="00AE64FD"/>
    <w:rsid w:val="00AE7A4D"/>
    <w:rsid w:val="00AF043A"/>
    <w:rsid w:val="00AF0F4B"/>
    <w:rsid w:val="00AF179A"/>
    <w:rsid w:val="00AF1C68"/>
    <w:rsid w:val="00AF257E"/>
    <w:rsid w:val="00AF25C5"/>
    <w:rsid w:val="00AF2837"/>
    <w:rsid w:val="00AF2881"/>
    <w:rsid w:val="00AF33BC"/>
    <w:rsid w:val="00AF3629"/>
    <w:rsid w:val="00AF3937"/>
    <w:rsid w:val="00AF3AC5"/>
    <w:rsid w:val="00AF4BF9"/>
    <w:rsid w:val="00AF714C"/>
    <w:rsid w:val="00AF7FA4"/>
    <w:rsid w:val="00B0094A"/>
    <w:rsid w:val="00B01804"/>
    <w:rsid w:val="00B028A2"/>
    <w:rsid w:val="00B03389"/>
    <w:rsid w:val="00B04ADD"/>
    <w:rsid w:val="00B06840"/>
    <w:rsid w:val="00B10299"/>
    <w:rsid w:val="00B10345"/>
    <w:rsid w:val="00B106D4"/>
    <w:rsid w:val="00B10D50"/>
    <w:rsid w:val="00B11689"/>
    <w:rsid w:val="00B11BB6"/>
    <w:rsid w:val="00B12547"/>
    <w:rsid w:val="00B12ED7"/>
    <w:rsid w:val="00B1369E"/>
    <w:rsid w:val="00B13856"/>
    <w:rsid w:val="00B13FF1"/>
    <w:rsid w:val="00B14307"/>
    <w:rsid w:val="00B1439A"/>
    <w:rsid w:val="00B14E15"/>
    <w:rsid w:val="00B15B01"/>
    <w:rsid w:val="00B163B4"/>
    <w:rsid w:val="00B163C0"/>
    <w:rsid w:val="00B167C4"/>
    <w:rsid w:val="00B16B7D"/>
    <w:rsid w:val="00B16CDE"/>
    <w:rsid w:val="00B20068"/>
    <w:rsid w:val="00B20929"/>
    <w:rsid w:val="00B2158D"/>
    <w:rsid w:val="00B2173C"/>
    <w:rsid w:val="00B21865"/>
    <w:rsid w:val="00B21C3B"/>
    <w:rsid w:val="00B21C7E"/>
    <w:rsid w:val="00B21C93"/>
    <w:rsid w:val="00B223B1"/>
    <w:rsid w:val="00B233D6"/>
    <w:rsid w:val="00B23B6F"/>
    <w:rsid w:val="00B23D31"/>
    <w:rsid w:val="00B245E4"/>
    <w:rsid w:val="00B256EB"/>
    <w:rsid w:val="00B25844"/>
    <w:rsid w:val="00B2603B"/>
    <w:rsid w:val="00B2679E"/>
    <w:rsid w:val="00B27361"/>
    <w:rsid w:val="00B3169B"/>
    <w:rsid w:val="00B3291B"/>
    <w:rsid w:val="00B3292C"/>
    <w:rsid w:val="00B335F2"/>
    <w:rsid w:val="00B336BE"/>
    <w:rsid w:val="00B342F1"/>
    <w:rsid w:val="00B347B9"/>
    <w:rsid w:val="00B4019C"/>
    <w:rsid w:val="00B40711"/>
    <w:rsid w:val="00B41B5A"/>
    <w:rsid w:val="00B41C65"/>
    <w:rsid w:val="00B42CA6"/>
    <w:rsid w:val="00B4361C"/>
    <w:rsid w:val="00B4469D"/>
    <w:rsid w:val="00B46A54"/>
    <w:rsid w:val="00B46A9D"/>
    <w:rsid w:val="00B479C7"/>
    <w:rsid w:val="00B47B19"/>
    <w:rsid w:val="00B50A31"/>
    <w:rsid w:val="00B51A7A"/>
    <w:rsid w:val="00B52AE3"/>
    <w:rsid w:val="00B54C9E"/>
    <w:rsid w:val="00B55AE4"/>
    <w:rsid w:val="00B55D23"/>
    <w:rsid w:val="00B5791C"/>
    <w:rsid w:val="00B60F31"/>
    <w:rsid w:val="00B61868"/>
    <w:rsid w:val="00B63999"/>
    <w:rsid w:val="00B64359"/>
    <w:rsid w:val="00B65A50"/>
    <w:rsid w:val="00B66E62"/>
    <w:rsid w:val="00B67AE5"/>
    <w:rsid w:val="00B70869"/>
    <w:rsid w:val="00B7223C"/>
    <w:rsid w:val="00B7244D"/>
    <w:rsid w:val="00B74382"/>
    <w:rsid w:val="00B74683"/>
    <w:rsid w:val="00B75F07"/>
    <w:rsid w:val="00B76E4F"/>
    <w:rsid w:val="00B82568"/>
    <w:rsid w:val="00B83C14"/>
    <w:rsid w:val="00B8490E"/>
    <w:rsid w:val="00B868B8"/>
    <w:rsid w:val="00B86B02"/>
    <w:rsid w:val="00B87771"/>
    <w:rsid w:val="00B907FF"/>
    <w:rsid w:val="00B9081F"/>
    <w:rsid w:val="00B921AC"/>
    <w:rsid w:val="00B924DA"/>
    <w:rsid w:val="00B92860"/>
    <w:rsid w:val="00B92E0E"/>
    <w:rsid w:val="00B9444C"/>
    <w:rsid w:val="00B9490B"/>
    <w:rsid w:val="00B962BD"/>
    <w:rsid w:val="00B9649D"/>
    <w:rsid w:val="00B96876"/>
    <w:rsid w:val="00BA00ED"/>
    <w:rsid w:val="00BA0D69"/>
    <w:rsid w:val="00BA0E44"/>
    <w:rsid w:val="00BA205D"/>
    <w:rsid w:val="00BA226D"/>
    <w:rsid w:val="00BA3021"/>
    <w:rsid w:val="00BA37F6"/>
    <w:rsid w:val="00BA39C6"/>
    <w:rsid w:val="00BA432B"/>
    <w:rsid w:val="00BA4E55"/>
    <w:rsid w:val="00BA5C07"/>
    <w:rsid w:val="00BA5C89"/>
    <w:rsid w:val="00BA5E3E"/>
    <w:rsid w:val="00BA5FE0"/>
    <w:rsid w:val="00BA6CE0"/>
    <w:rsid w:val="00BA6D98"/>
    <w:rsid w:val="00BA6E4E"/>
    <w:rsid w:val="00BA7249"/>
    <w:rsid w:val="00BA74C7"/>
    <w:rsid w:val="00BB08C8"/>
    <w:rsid w:val="00BB093C"/>
    <w:rsid w:val="00BB0AB8"/>
    <w:rsid w:val="00BB1AF6"/>
    <w:rsid w:val="00BB2234"/>
    <w:rsid w:val="00BB22F2"/>
    <w:rsid w:val="00BB2845"/>
    <w:rsid w:val="00BB2E30"/>
    <w:rsid w:val="00BB2E7D"/>
    <w:rsid w:val="00BB380C"/>
    <w:rsid w:val="00BB3FC4"/>
    <w:rsid w:val="00BB4077"/>
    <w:rsid w:val="00BB4614"/>
    <w:rsid w:val="00BB4C89"/>
    <w:rsid w:val="00BB545B"/>
    <w:rsid w:val="00BB57A1"/>
    <w:rsid w:val="00BB5D92"/>
    <w:rsid w:val="00BB723D"/>
    <w:rsid w:val="00BB7471"/>
    <w:rsid w:val="00BB7490"/>
    <w:rsid w:val="00BC03E0"/>
    <w:rsid w:val="00BC0A61"/>
    <w:rsid w:val="00BC3641"/>
    <w:rsid w:val="00BC4185"/>
    <w:rsid w:val="00BC4394"/>
    <w:rsid w:val="00BC4706"/>
    <w:rsid w:val="00BC4DE2"/>
    <w:rsid w:val="00BC5983"/>
    <w:rsid w:val="00BC599F"/>
    <w:rsid w:val="00BC5AF0"/>
    <w:rsid w:val="00BC6487"/>
    <w:rsid w:val="00BC6A55"/>
    <w:rsid w:val="00BC6B1D"/>
    <w:rsid w:val="00BC768B"/>
    <w:rsid w:val="00BD0331"/>
    <w:rsid w:val="00BD0B4B"/>
    <w:rsid w:val="00BD19F3"/>
    <w:rsid w:val="00BD2411"/>
    <w:rsid w:val="00BD2B26"/>
    <w:rsid w:val="00BD3F73"/>
    <w:rsid w:val="00BD4C21"/>
    <w:rsid w:val="00BD5DC6"/>
    <w:rsid w:val="00BD6B68"/>
    <w:rsid w:val="00BD7B09"/>
    <w:rsid w:val="00BD7B54"/>
    <w:rsid w:val="00BD7DC9"/>
    <w:rsid w:val="00BE19CB"/>
    <w:rsid w:val="00BE1E62"/>
    <w:rsid w:val="00BE2E88"/>
    <w:rsid w:val="00BE30E9"/>
    <w:rsid w:val="00BE4BF5"/>
    <w:rsid w:val="00BE5029"/>
    <w:rsid w:val="00BE6A24"/>
    <w:rsid w:val="00BE7A16"/>
    <w:rsid w:val="00BE7FCE"/>
    <w:rsid w:val="00BF0765"/>
    <w:rsid w:val="00BF0EFE"/>
    <w:rsid w:val="00BF1701"/>
    <w:rsid w:val="00BF1A7A"/>
    <w:rsid w:val="00BF2ED2"/>
    <w:rsid w:val="00BF40F6"/>
    <w:rsid w:val="00BF49D1"/>
    <w:rsid w:val="00BF4F93"/>
    <w:rsid w:val="00BF5E54"/>
    <w:rsid w:val="00BF5FD3"/>
    <w:rsid w:val="00C0024A"/>
    <w:rsid w:val="00C00F79"/>
    <w:rsid w:val="00C01B60"/>
    <w:rsid w:val="00C02295"/>
    <w:rsid w:val="00C03A68"/>
    <w:rsid w:val="00C0622F"/>
    <w:rsid w:val="00C066D1"/>
    <w:rsid w:val="00C06C4D"/>
    <w:rsid w:val="00C06F68"/>
    <w:rsid w:val="00C073F5"/>
    <w:rsid w:val="00C074A2"/>
    <w:rsid w:val="00C07A21"/>
    <w:rsid w:val="00C109AD"/>
    <w:rsid w:val="00C11171"/>
    <w:rsid w:val="00C114AE"/>
    <w:rsid w:val="00C115B6"/>
    <w:rsid w:val="00C11BC6"/>
    <w:rsid w:val="00C1234A"/>
    <w:rsid w:val="00C12B54"/>
    <w:rsid w:val="00C13815"/>
    <w:rsid w:val="00C14D09"/>
    <w:rsid w:val="00C16EEF"/>
    <w:rsid w:val="00C170CC"/>
    <w:rsid w:val="00C1712C"/>
    <w:rsid w:val="00C17774"/>
    <w:rsid w:val="00C201FE"/>
    <w:rsid w:val="00C2113D"/>
    <w:rsid w:val="00C22ABD"/>
    <w:rsid w:val="00C24918"/>
    <w:rsid w:val="00C25DAD"/>
    <w:rsid w:val="00C26E4A"/>
    <w:rsid w:val="00C27380"/>
    <w:rsid w:val="00C274CF"/>
    <w:rsid w:val="00C3043F"/>
    <w:rsid w:val="00C318A2"/>
    <w:rsid w:val="00C31DCC"/>
    <w:rsid w:val="00C3204A"/>
    <w:rsid w:val="00C3232B"/>
    <w:rsid w:val="00C328BF"/>
    <w:rsid w:val="00C32BBC"/>
    <w:rsid w:val="00C32E41"/>
    <w:rsid w:val="00C33178"/>
    <w:rsid w:val="00C346FC"/>
    <w:rsid w:val="00C35080"/>
    <w:rsid w:val="00C3549C"/>
    <w:rsid w:val="00C355AE"/>
    <w:rsid w:val="00C355FC"/>
    <w:rsid w:val="00C36823"/>
    <w:rsid w:val="00C40001"/>
    <w:rsid w:val="00C41831"/>
    <w:rsid w:val="00C43657"/>
    <w:rsid w:val="00C437AD"/>
    <w:rsid w:val="00C44384"/>
    <w:rsid w:val="00C45828"/>
    <w:rsid w:val="00C458B6"/>
    <w:rsid w:val="00C46102"/>
    <w:rsid w:val="00C4666C"/>
    <w:rsid w:val="00C509C9"/>
    <w:rsid w:val="00C50D36"/>
    <w:rsid w:val="00C511CE"/>
    <w:rsid w:val="00C518AD"/>
    <w:rsid w:val="00C51F21"/>
    <w:rsid w:val="00C5202B"/>
    <w:rsid w:val="00C531A6"/>
    <w:rsid w:val="00C531AB"/>
    <w:rsid w:val="00C53D80"/>
    <w:rsid w:val="00C5601B"/>
    <w:rsid w:val="00C56365"/>
    <w:rsid w:val="00C57044"/>
    <w:rsid w:val="00C611A2"/>
    <w:rsid w:val="00C61260"/>
    <w:rsid w:val="00C6128B"/>
    <w:rsid w:val="00C62F54"/>
    <w:rsid w:val="00C6364F"/>
    <w:rsid w:val="00C64CB0"/>
    <w:rsid w:val="00C66C74"/>
    <w:rsid w:val="00C66C9E"/>
    <w:rsid w:val="00C7091F"/>
    <w:rsid w:val="00C713DB"/>
    <w:rsid w:val="00C7174B"/>
    <w:rsid w:val="00C71F29"/>
    <w:rsid w:val="00C7251B"/>
    <w:rsid w:val="00C7269F"/>
    <w:rsid w:val="00C72812"/>
    <w:rsid w:val="00C72AD8"/>
    <w:rsid w:val="00C742FC"/>
    <w:rsid w:val="00C744D0"/>
    <w:rsid w:val="00C7512F"/>
    <w:rsid w:val="00C76121"/>
    <w:rsid w:val="00C76939"/>
    <w:rsid w:val="00C77532"/>
    <w:rsid w:val="00C80C93"/>
    <w:rsid w:val="00C822E7"/>
    <w:rsid w:val="00C82B15"/>
    <w:rsid w:val="00C83E0F"/>
    <w:rsid w:val="00C851FF"/>
    <w:rsid w:val="00C853A9"/>
    <w:rsid w:val="00C864AC"/>
    <w:rsid w:val="00C86BEC"/>
    <w:rsid w:val="00C86CA5"/>
    <w:rsid w:val="00C87A16"/>
    <w:rsid w:val="00C90924"/>
    <w:rsid w:val="00C90D29"/>
    <w:rsid w:val="00C90EA3"/>
    <w:rsid w:val="00C91824"/>
    <w:rsid w:val="00C92BF5"/>
    <w:rsid w:val="00C93858"/>
    <w:rsid w:val="00C93990"/>
    <w:rsid w:val="00C93CB5"/>
    <w:rsid w:val="00C9455A"/>
    <w:rsid w:val="00C94EFE"/>
    <w:rsid w:val="00C94FE8"/>
    <w:rsid w:val="00C9539B"/>
    <w:rsid w:val="00C968ED"/>
    <w:rsid w:val="00C96C94"/>
    <w:rsid w:val="00CA06EF"/>
    <w:rsid w:val="00CA10AD"/>
    <w:rsid w:val="00CA177B"/>
    <w:rsid w:val="00CA17F4"/>
    <w:rsid w:val="00CA2803"/>
    <w:rsid w:val="00CA2910"/>
    <w:rsid w:val="00CA6E28"/>
    <w:rsid w:val="00CA6F5A"/>
    <w:rsid w:val="00CB0AD5"/>
    <w:rsid w:val="00CB1A09"/>
    <w:rsid w:val="00CB2752"/>
    <w:rsid w:val="00CB2CBD"/>
    <w:rsid w:val="00CB2EB4"/>
    <w:rsid w:val="00CB5534"/>
    <w:rsid w:val="00CB618E"/>
    <w:rsid w:val="00CB658A"/>
    <w:rsid w:val="00CB6832"/>
    <w:rsid w:val="00CB6AA7"/>
    <w:rsid w:val="00CB6E79"/>
    <w:rsid w:val="00CC078D"/>
    <w:rsid w:val="00CC19F0"/>
    <w:rsid w:val="00CC1ECD"/>
    <w:rsid w:val="00CC249B"/>
    <w:rsid w:val="00CC2A65"/>
    <w:rsid w:val="00CC3FD2"/>
    <w:rsid w:val="00CC47DC"/>
    <w:rsid w:val="00CC6593"/>
    <w:rsid w:val="00CD0BF1"/>
    <w:rsid w:val="00CD0CD7"/>
    <w:rsid w:val="00CD0E1F"/>
    <w:rsid w:val="00CD1192"/>
    <w:rsid w:val="00CD2B5A"/>
    <w:rsid w:val="00CD2DFE"/>
    <w:rsid w:val="00CD3103"/>
    <w:rsid w:val="00CD48E1"/>
    <w:rsid w:val="00CD5914"/>
    <w:rsid w:val="00CD6649"/>
    <w:rsid w:val="00CD791C"/>
    <w:rsid w:val="00CE0357"/>
    <w:rsid w:val="00CE0F01"/>
    <w:rsid w:val="00CE197F"/>
    <w:rsid w:val="00CE2D9D"/>
    <w:rsid w:val="00CE33D6"/>
    <w:rsid w:val="00CE4FE5"/>
    <w:rsid w:val="00CE5980"/>
    <w:rsid w:val="00CE5A12"/>
    <w:rsid w:val="00CE5CEA"/>
    <w:rsid w:val="00CE5F3F"/>
    <w:rsid w:val="00CF0827"/>
    <w:rsid w:val="00CF0E20"/>
    <w:rsid w:val="00CF10A2"/>
    <w:rsid w:val="00CF17E0"/>
    <w:rsid w:val="00CF1E3D"/>
    <w:rsid w:val="00CF291C"/>
    <w:rsid w:val="00CF2953"/>
    <w:rsid w:val="00CF3057"/>
    <w:rsid w:val="00CF4220"/>
    <w:rsid w:val="00CF6750"/>
    <w:rsid w:val="00CF73B7"/>
    <w:rsid w:val="00CF7A61"/>
    <w:rsid w:val="00D01267"/>
    <w:rsid w:val="00D02540"/>
    <w:rsid w:val="00D03BF0"/>
    <w:rsid w:val="00D05162"/>
    <w:rsid w:val="00D052D2"/>
    <w:rsid w:val="00D05318"/>
    <w:rsid w:val="00D06A2D"/>
    <w:rsid w:val="00D06DDC"/>
    <w:rsid w:val="00D071BD"/>
    <w:rsid w:val="00D1086F"/>
    <w:rsid w:val="00D11A66"/>
    <w:rsid w:val="00D12C83"/>
    <w:rsid w:val="00D12ECB"/>
    <w:rsid w:val="00D13EFF"/>
    <w:rsid w:val="00D145D5"/>
    <w:rsid w:val="00D15A2E"/>
    <w:rsid w:val="00D15DCA"/>
    <w:rsid w:val="00D16E37"/>
    <w:rsid w:val="00D20E45"/>
    <w:rsid w:val="00D217E1"/>
    <w:rsid w:val="00D219CF"/>
    <w:rsid w:val="00D227EC"/>
    <w:rsid w:val="00D24062"/>
    <w:rsid w:val="00D245A5"/>
    <w:rsid w:val="00D2639A"/>
    <w:rsid w:val="00D263B5"/>
    <w:rsid w:val="00D26641"/>
    <w:rsid w:val="00D26C3F"/>
    <w:rsid w:val="00D27A10"/>
    <w:rsid w:val="00D27F74"/>
    <w:rsid w:val="00D3098B"/>
    <w:rsid w:val="00D30FDB"/>
    <w:rsid w:val="00D31AF2"/>
    <w:rsid w:val="00D31B74"/>
    <w:rsid w:val="00D328C3"/>
    <w:rsid w:val="00D34225"/>
    <w:rsid w:val="00D34AC9"/>
    <w:rsid w:val="00D35EC9"/>
    <w:rsid w:val="00D36322"/>
    <w:rsid w:val="00D36765"/>
    <w:rsid w:val="00D375B2"/>
    <w:rsid w:val="00D3799D"/>
    <w:rsid w:val="00D425E4"/>
    <w:rsid w:val="00D4432E"/>
    <w:rsid w:val="00D44A7C"/>
    <w:rsid w:val="00D45C95"/>
    <w:rsid w:val="00D46227"/>
    <w:rsid w:val="00D46C9C"/>
    <w:rsid w:val="00D46CCC"/>
    <w:rsid w:val="00D50C51"/>
    <w:rsid w:val="00D50D11"/>
    <w:rsid w:val="00D51970"/>
    <w:rsid w:val="00D51FFE"/>
    <w:rsid w:val="00D5226F"/>
    <w:rsid w:val="00D54B77"/>
    <w:rsid w:val="00D5606C"/>
    <w:rsid w:val="00D57BF0"/>
    <w:rsid w:val="00D602C3"/>
    <w:rsid w:val="00D624EE"/>
    <w:rsid w:val="00D62B97"/>
    <w:rsid w:val="00D63D21"/>
    <w:rsid w:val="00D63F1C"/>
    <w:rsid w:val="00D66751"/>
    <w:rsid w:val="00D67425"/>
    <w:rsid w:val="00D70223"/>
    <w:rsid w:val="00D70FD9"/>
    <w:rsid w:val="00D71245"/>
    <w:rsid w:val="00D71494"/>
    <w:rsid w:val="00D71660"/>
    <w:rsid w:val="00D721DB"/>
    <w:rsid w:val="00D72579"/>
    <w:rsid w:val="00D726AD"/>
    <w:rsid w:val="00D72DEB"/>
    <w:rsid w:val="00D73011"/>
    <w:rsid w:val="00D73491"/>
    <w:rsid w:val="00D73788"/>
    <w:rsid w:val="00D73A7D"/>
    <w:rsid w:val="00D741D3"/>
    <w:rsid w:val="00D74638"/>
    <w:rsid w:val="00D74D3B"/>
    <w:rsid w:val="00D7585B"/>
    <w:rsid w:val="00D779CB"/>
    <w:rsid w:val="00D77EA4"/>
    <w:rsid w:val="00D8093D"/>
    <w:rsid w:val="00D84E64"/>
    <w:rsid w:val="00D84F3A"/>
    <w:rsid w:val="00D856D8"/>
    <w:rsid w:val="00D857CA"/>
    <w:rsid w:val="00D86016"/>
    <w:rsid w:val="00D862DF"/>
    <w:rsid w:val="00D86A83"/>
    <w:rsid w:val="00D86C24"/>
    <w:rsid w:val="00D87D23"/>
    <w:rsid w:val="00D90A95"/>
    <w:rsid w:val="00D90C5D"/>
    <w:rsid w:val="00D91805"/>
    <w:rsid w:val="00D918FF"/>
    <w:rsid w:val="00D92E3D"/>
    <w:rsid w:val="00D92E49"/>
    <w:rsid w:val="00D934CB"/>
    <w:rsid w:val="00D939AD"/>
    <w:rsid w:val="00D96024"/>
    <w:rsid w:val="00D9659C"/>
    <w:rsid w:val="00D9661C"/>
    <w:rsid w:val="00DA0A95"/>
    <w:rsid w:val="00DA1206"/>
    <w:rsid w:val="00DA180B"/>
    <w:rsid w:val="00DA3886"/>
    <w:rsid w:val="00DA399A"/>
    <w:rsid w:val="00DA436F"/>
    <w:rsid w:val="00DA4585"/>
    <w:rsid w:val="00DA4DAC"/>
    <w:rsid w:val="00DA62DD"/>
    <w:rsid w:val="00DA64A9"/>
    <w:rsid w:val="00DA6AF9"/>
    <w:rsid w:val="00DA6D1E"/>
    <w:rsid w:val="00DA7F09"/>
    <w:rsid w:val="00DB01C3"/>
    <w:rsid w:val="00DB1F0D"/>
    <w:rsid w:val="00DB3692"/>
    <w:rsid w:val="00DB411D"/>
    <w:rsid w:val="00DB45B5"/>
    <w:rsid w:val="00DB54C2"/>
    <w:rsid w:val="00DB57C3"/>
    <w:rsid w:val="00DC02DF"/>
    <w:rsid w:val="00DC0A4B"/>
    <w:rsid w:val="00DC0E0D"/>
    <w:rsid w:val="00DC12E4"/>
    <w:rsid w:val="00DC188A"/>
    <w:rsid w:val="00DC19DA"/>
    <w:rsid w:val="00DC2436"/>
    <w:rsid w:val="00DC3842"/>
    <w:rsid w:val="00DC5B37"/>
    <w:rsid w:val="00DC6693"/>
    <w:rsid w:val="00DC7277"/>
    <w:rsid w:val="00DD0615"/>
    <w:rsid w:val="00DD13BB"/>
    <w:rsid w:val="00DD1A22"/>
    <w:rsid w:val="00DD36DF"/>
    <w:rsid w:val="00DD3888"/>
    <w:rsid w:val="00DD4E92"/>
    <w:rsid w:val="00DD5B94"/>
    <w:rsid w:val="00DD5D09"/>
    <w:rsid w:val="00DD5DF8"/>
    <w:rsid w:val="00DD61AD"/>
    <w:rsid w:val="00DD6FFE"/>
    <w:rsid w:val="00DD7D72"/>
    <w:rsid w:val="00DE068B"/>
    <w:rsid w:val="00DE10B2"/>
    <w:rsid w:val="00DE260C"/>
    <w:rsid w:val="00DE3BBC"/>
    <w:rsid w:val="00DE3C24"/>
    <w:rsid w:val="00DE48EC"/>
    <w:rsid w:val="00DE4B1F"/>
    <w:rsid w:val="00DE51BF"/>
    <w:rsid w:val="00DE5790"/>
    <w:rsid w:val="00DE58CC"/>
    <w:rsid w:val="00DE6228"/>
    <w:rsid w:val="00DE7027"/>
    <w:rsid w:val="00DE725B"/>
    <w:rsid w:val="00DE753B"/>
    <w:rsid w:val="00DE75EC"/>
    <w:rsid w:val="00DF1EDA"/>
    <w:rsid w:val="00DF29CE"/>
    <w:rsid w:val="00DF2B16"/>
    <w:rsid w:val="00DF2CEE"/>
    <w:rsid w:val="00DF3B08"/>
    <w:rsid w:val="00DF4986"/>
    <w:rsid w:val="00DF620D"/>
    <w:rsid w:val="00DF63AB"/>
    <w:rsid w:val="00DF68D4"/>
    <w:rsid w:val="00DF79ED"/>
    <w:rsid w:val="00DF7B74"/>
    <w:rsid w:val="00E02084"/>
    <w:rsid w:val="00E027AF"/>
    <w:rsid w:val="00E03BB9"/>
    <w:rsid w:val="00E062F3"/>
    <w:rsid w:val="00E065F8"/>
    <w:rsid w:val="00E0695D"/>
    <w:rsid w:val="00E06F06"/>
    <w:rsid w:val="00E07383"/>
    <w:rsid w:val="00E07D2F"/>
    <w:rsid w:val="00E07FC0"/>
    <w:rsid w:val="00E1002D"/>
    <w:rsid w:val="00E10271"/>
    <w:rsid w:val="00E10738"/>
    <w:rsid w:val="00E107D4"/>
    <w:rsid w:val="00E12DB9"/>
    <w:rsid w:val="00E1328A"/>
    <w:rsid w:val="00E147FA"/>
    <w:rsid w:val="00E14C8A"/>
    <w:rsid w:val="00E14C96"/>
    <w:rsid w:val="00E152AF"/>
    <w:rsid w:val="00E15B63"/>
    <w:rsid w:val="00E16166"/>
    <w:rsid w:val="00E16B13"/>
    <w:rsid w:val="00E16B85"/>
    <w:rsid w:val="00E17098"/>
    <w:rsid w:val="00E173F2"/>
    <w:rsid w:val="00E179CE"/>
    <w:rsid w:val="00E17D70"/>
    <w:rsid w:val="00E202F1"/>
    <w:rsid w:val="00E20F27"/>
    <w:rsid w:val="00E21A49"/>
    <w:rsid w:val="00E22F87"/>
    <w:rsid w:val="00E23351"/>
    <w:rsid w:val="00E233A9"/>
    <w:rsid w:val="00E235AE"/>
    <w:rsid w:val="00E239D6"/>
    <w:rsid w:val="00E251FD"/>
    <w:rsid w:val="00E2596B"/>
    <w:rsid w:val="00E271E2"/>
    <w:rsid w:val="00E30262"/>
    <w:rsid w:val="00E31238"/>
    <w:rsid w:val="00E312BA"/>
    <w:rsid w:val="00E313A9"/>
    <w:rsid w:val="00E31AF0"/>
    <w:rsid w:val="00E337D3"/>
    <w:rsid w:val="00E33904"/>
    <w:rsid w:val="00E35271"/>
    <w:rsid w:val="00E36E33"/>
    <w:rsid w:val="00E370D0"/>
    <w:rsid w:val="00E375B3"/>
    <w:rsid w:val="00E401D8"/>
    <w:rsid w:val="00E4121A"/>
    <w:rsid w:val="00E41235"/>
    <w:rsid w:val="00E41574"/>
    <w:rsid w:val="00E52B44"/>
    <w:rsid w:val="00E53672"/>
    <w:rsid w:val="00E54A18"/>
    <w:rsid w:val="00E55C14"/>
    <w:rsid w:val="00E56A7E"/>
    <w:rsid w:val="00E56FF4"/>
    <w:rsid w:val="00E60D6E"/>
    <w:rsid w:val="00E61333"/>
    <w:rsid w:val="00E64858"/>
    <w:rsid w:val="00E655DB"/>
    <w:rsid w:val="00E65BEC"/>
    <w:rsid w:val="00E664A9"/>
    <w:rsid w:val="00E671CD"/>
    <w:rsid w:val="00E711D6"/>
    <w:rsid w:val="00E71278"/>
    <w:rsid w:val="00E7166C"/>
    <w:rsid w:val="00E73425"/>
    <w:rsid w:val="00E75902"/>
    <w:rsid w:val="00E75FC9"/>
    <w:rsid w:val="00E7627C"/>
    <w:rsid w:val="00E801D0"/>
    <w:rsid w:val="00E80BDF"/>
    <w:rsid w:val="00E80DA6"/>
    <w:rsid w:val="00E80FA1"/>
    <w:rsid w:val="00E82A41"/>
    <w:rsid w:val="00E83E35"/>
    <w:rsid w:val="00E84304"/>
    <w:rsid w:val="00E87DDE"/>
    <w:rsid w:val="00E90403"/>
    <w:rsid w:val="00E926D1"/>
    <w:rsid w:val="00E92C3B"/>
    <w:rsid w:val="00E9341A"/>
    <w:rsid w:val="00E94000"/>
    <w:rsid w:val="00E94089"/>
    <w:rsid w:val="00E95F7F"/>
    <w:rsid w:val="00E96327"/>
    <w:rsid w:val="00E9737A"/>
    <w:rsid w:val="00E97530"/>
    <w:rsid w:val="00E975E1"/>
    <w:rsid w:val="00E97DC8"/>
    <w:rsid w:val="00EA012C"/>
    <w:rsid w:val="00EA0679"/>
    <w:rsid w:val="00EA0B4A"/>
    <w:rsid w:val="00EA146F"/>
    <w:rsid w:val="00EA1863"/>
    <w:rsid w:val="00EA1CBF"/>
    <w:rsid w:val="00EA25A1"/>
    <w:rsid w:val="00EA3F14"/>
    <w:rsid w:val="00EA406B"/>
    <w:rsid w:val="00EA4295"/>
    <w:rsid w:val="00EA466C"/>
    <w:rsid w:val="00EA510A"/>
    <w:rsid w:val="00EA56AB"/>
    <w:rsid w:val="00EA5C55"/>
    <w:rsid w:val="00EA5D3A"/>
    <w:rsid w:val="00EA6755"/>
    <w:rsid w:val="00EA76D8"/>
    <w:rsid w:val="00EB0AEC"/>
    <w:rsid w:val="00EB0CD1"/>
    <w:rsid w:val="00EB1F90"/>
    <w:rsid w:val="00EB2E87"/>
    <w:rsid w:val="00EB460C"/>
    <w:rsid w:val="00EB5506"/>
    <w:rsid w:val="00EB58EC"/>
    <w:rsid w:val="00EB63AE"/>
    <w:rsid w:val="00EC047E"/>
    <w:rsid w:val="00EC10B3"/>
    <w:rsid w:val="00EC1701"/>
    <w:rsid w:val="00EC20B3"/>
    <w:rsid w:val="00EC35EB"/>
    <w:rsid w:val="00EC3744"/>
    <w:rsid w:val="00EC3B3E"/>
    <w:rsid w:val="00EC4CA5"/>
    <w:rsid w:val="00EC5EF3"/>
    <w:rsid w:val="00EC752B"/>
    <w:rsid w:val="00EC7D9D"/>
    <w:rsid w:val="00EC7E4A"/>
    <w:rsid w:val="00ED078E"/>
    <w:rsid w:val="00ED0830"/>
    <w:rsid w:val="00ED1A2C"/>
    <w:rsid w:val="00ED31A4"/>
    <w:rsid w:val="00ED347A"/>
    <w:rsid w:val="00ED3622"/>
    <w:rsid w:val="00ED3E65"/>
    <w:rsid w:val="00ED472F"/>
    <w:rsid w:val="00ED577C"/>
    <w:rsid w:val="00ED6428"/>
    <w:rsid w:val="00ED7396"/>
    <w:rsid w:val="00ED7488"/>
    <w:rsid w:val="00ED76B0"/>
    <w:rsid w:val="00EE03A8"/>
    <w:rsid w:val="00EE111F"/>
    <w:rsid w:val="00EE1604"/>
    <w:rsid w:val="00EE1A8E"/>
    <w:rsid w:val="00EE25EB"/>
    <w:rsid w:val="00EE30C5"/>
    <w:rsid w:val="00EE4449"/>
    <w:rsid w:val="00EE4986"/>
    <w:rsid w:val="00EE4BDE"/>
    <w:rsid w:val="00EE55DE"/>
    <w:rsid w:val="00EE7253"/>
    <w:rsid w:val="00EF028C"/>
    <w:rsid w:val="00EF0BF7"/>
    <w:rsid w:val="00EF2B7A"/>
    <w:rsid w:val="00EF4C40"/>
    <w:rsid w:val="00EF5230"/>
    <w:rsid w:val="00F00701"/>
    <w:rsid w:val="00F00831"/>
    <w:rsid w:val="00F01D66"/>
    <w:rsid w:val="00F02E0F"/>
    <w:rsid w:val="00F02F70"/>
    <w:rsid w:val="00F05176"/>
    <w:rsid w:val="00F06B5F"/>
    <w:rsid w:val="00F06CE6"/>
    <w:rsid w:val="00F07935"/>
    <w:rsid w:val="00F107DE"/>
    <w:rsid w:val="00F10E56"/>
    <w:rsid w:val="00F11155"/>
    <w:rsid w:val="00F112B8"/>
    <w:rsid w:val="00F11C56"/>
    <w:rsid w:val="00F123CF"/>
    <w:rsid w:val="00F12DC4"/>
    <w:rsid w:val="00F130C1"/>
    <w:rsid w:val="00F13147"/>
    <w:rsid w:val="00F1419E"/>
    <w:rsid w:val="00F153BE"/>
    <w:rsid w:val="00F15837"/>
    <w:rsid w:val="00F15A94"/>
    <w:rsid w:val="00F1651D"/>
    <w:rsid w:val="00F166E3"/>
    <w:rsid w:val="00F1679C"/>
    <w:rsid w:val="00F168AF"/>
    <w:rsid w:val="00F16A48"/>
    <w:rsid w:val="00F16FBE"/>
    <w:rsid w:val="00F17D35"/>
    <w:rsid w:val="00F20DB6"/>
    <w:rsid w:val="00F22063"/>
    <w:rsid w:val="00F2235D"/>
    <w:rsid w:val="00F23006"/>
    <w:rsid w:val="00F230C0"/>
    <w:rsid w:val="00F234ED"/>
    <w:rsid w:val="00F239CB"/>
    <w:rsid w:val="00F23FDC"/>
    <w:rsid w:val="00F243AA"/>
    <w:rsid w:val="00F2461F"/>
    <w:rsid w:val="00F249CD"/>
    <w:rsid w:val="00F2513D"/>
    <w:rsid w:val="00F251E2"/>
    <w:rsid w:val="00F253DB"/>
    <w:rsid w:val="00F25449"/>
    <w:rsid w:val="00F259AE"/>
    <w:rsid w:val="00F25C28"/>
    <w:rsid w:val="00F26186"/>
    <w:rsid w:val="00F26353"/>
    <w:rsid w:val="00F26507"/>
    <w:rsid w:val="00F3007B"/>
    <w:rsid w:val="00F31290"/>
    <w:rsid w:val="00F31425"/>
    <w:rsid w:val="00F3266E"/>
    <w:rsid w:val="00F33182"/>
    <w:rsid w:val="00F345F4"/>
    <w:rsid w:val="00F346F6"/>
    <w:rsid w:val="00F348AE"/>
    <w:rsid w:val="00F36481"/>
    <w:rsid w:val="00F36E92"/>
    <w:rsid w:val="00F3768F"/>
    <w:rsid w:val="00F376CE"/>
    <w:rsid w:val="00F40C5C"/>
    <w:rsid w:val="00F410A9"/>
    <w:rsid w:val="00F418CF"/>
    <w:rsid w:val="00F42A85"/>
    <w:rsid w:val="00F42C81"/>
    <w:rsid w:val="00F42EE1"/>
    <w:rsid w:val="00F43BDA"/>
    <w:rsid w:val="00F43FC4"/>
    <w:rsid w:val="00F43FE3"/>
    <w:rsid w:val="00F44147"/>
    <w:rsid w:val="00F45064"/>
    <w:rsid w:val="00F514D6"/>
    <w:rsid w:val="00F51707"/>
    <w:rsid w:val="00F520BA"/>
    <w:rsid w:val="00F524A3"/>
    <w:rsid w:val="00F53DA8"/>
    <w:rsid w:val="00F546FA"/>
    <w:rsid w:val="00F55310"/>
    <w:rsid w:val="00F55CC7"/>
    <w:rsid w:val="00F55FD4"/>
    <w:rsid w:val="00F56130"/>
    <w:rsid w:val="00F56CC9"/>
    <w:rsid w:val="00F57A2F"/>
    <w:rsid w:val="00F60703"/>
    <w:rsid w:val="00F60888"/>
    <w:rsid w:val="00F60AAA"/>
    <w:rsid w:val="00F610EC"/>
    <w:rsid w:val="00F636B8"/>
    <w:rsid w:val="00F63728"/>
    <w:rsid w:val="00F6408F"/>
    <w:rsid w:val="00F64C38"/>
    <w:rsid w:val="00F651F1"/>
    <w:rsid w:val="00F65C85"/>
    <w:rsid w:val="00F6685A"/>
    <w:rsid w:val="00F67021"/>
    <w:rsid w:val="00F67188"/>
    <w:rsid w:val="00F67320"/>
    <w:rsid w:val="00F70641"/>
    <w:rsid w:val="00F71510"/>
    <w:rsid w:val="00F71871"/>
    <w:rsid w:val="00F71F24"/>
    <w:rsid w:val="00F731C5"/>
    <w:rsid w:val="00F73FF4"/>
    <w:rsid w:val="00F74561"/>
    <w:rsid w:val="00F75F31"/>
    <w:rsid w:val="00F80D1D"/>
    <w:rsid w:val="00F8182F"/>
    <w:rsid w:val="00F832E1"/>
    <w:rsid w:val="00F83F41"/>
    <w:rsid w:val="00F85BB8"/>
    <w:rsid w:val="00F872FE"/>
    <w:rsid w:val="00F875F3"/>
    <w:rsid w:val="00F8779B"/>
    <w:rsid w:val="00F87B55"/>
    <w:rsid w:val="00F87B7B"/>
    <w:rsid w:val="00F91492"/>
    <w:rsid w:val="00F935BA"/>
    <w:rsid w:val="00F9417F"/>
    <w:rsid w:val="00F954AF"/>
    <w:rsid w:val="00F957A2"/>
    <w:rsid w:val="00F966D7"/>
    <w:rsid w:val="00F96794"/>
    <w:rsid w:val="00F96E60"/>
    <w:rsid w:val="00F97563"/>
    <w:rsid w:val="00F97FE2"/>
    <w:rsid w:val="00FA07D2"/>
    <w:rsid w:val="00FA0FF5"/>
    <w:rsid w:val="00FA103D"/>
    <w:rsid w:val="00FA1D73"/>
    <w:rsid w:val="00FA1D7C"/>
    <w:rsid w:val="00FA24BA"/>
    <w:rsid w:val="00FA42D3"/>
    <w:rsid w:val="00FA5D94"/>
    <w:rsid w:val="00FA6399"/>
    <w:rsid w:val="00FA6808"/>
    <w:rsid w:val="00FA73F6"/>
    <w:rsid w:val="00FB0129"/>
    <w:rsid w:val="00FB0A11"/>
    <w:rsid w:val="00FB0A58"/>
    <w:rsid w:val="00FB12FA"/>
    <w:rsid w:val="00FB133C"/>
    <w:rsid w:val="00FB1AB0"/>
    <w:rsid w:val="00FB24A1"/>
    <w:rsid w:val="00FB28BA"/>
    <w:rsid w:val="00FB32EB"/>
    <w:rsid w:val="00FB4B10"/>
    <w:rsid w:val="00FB5648"/>
    <w:rsid w:val="00FB574E"/>
    <w:rsid w:val="00FB6C32"/>
    <w:rsid w:val="00FB7434"/>
    <w:rsid w:val="00FC0576"/>
    <w:rsid w:val="00FC13C7"/>
    <w:rsid w:val="00FC16C9"/>
    <w:rsid w:val="00FC2017"/>
    <w:rsid w:val="00FC2534"/>
    <w:rsid w:val="00FC2978"/>
    <w:rsid w:val="00FC34E9"/>
    <w:rsid w:val="00FC4A5B"/>
    <w:rsid w:val="00FC4CEA"/>
    <w:rsid w:val="00FC4F91"/>
    <w:rsid w:val="00FC5FDC"/>
    <w:rsid w:val="00FC6483"/>
    <w:rsid w:val="00FC64DF"/>
    <w:rsid w:val="00FC70E3"/>
    <w:rsid w:val="00FC7AA1"/>
    <w:rsid w:val="00FD03A1"/>
    <w:rsid w:val="00FD07B4"/>
    <w:rsid w:val="00FD1828"/>
    <w:rsid w:val="00FD20E6"/>
    <w:rsid w:val="00FD2575"/>
    <w:rsid w:val="00FD3100"/>
    <w:rsid w:val="00FD36C6"/>
    <w:rsid w:val="00FD4E5E"/>
    <w:rsid w:val="00FD7815"/>
    <w:rsid w:val="00FD7D02"/>
    <w:rsid w:val="00FE09BA"/>
    <w:rsid w:val="00FE10DF"/>
    <w:rsid w:val="00FE11E8"/>
    <w:rsid w:val="00FE1631"/>
    <w:rsid w:val="00FE1B2B"/>
    <w:rsid w:val="00FE2896"/>
    <w:rsid w:val="00FE2EBC"/>
    <w:rsid w:val="00FE42BF"/>
    <w:rsid w:val="00FE56D2"/>
    <w:rsid w:val="00FE5736"/>
    <w:rsid w:val="00FE5884"/>
    <w:rsid w:val="00FE6E24"/>
    <w:rsid w:val="00FE73EF"/>
    <w:rsid w:val="00FE7B44"/>
    <w:rsid w:val="00FF00D4"/>
    <w:rsid w:val="00FF0AEC"/>
    <w:rsid w:val="00FF0B1C"/>
    <w:rsid w:val="00FF0B89"/>
    <w:rsid w:val="00FF1761"/>
    <w:rsid w:val="00FF1BA6"/>
    <w:rsid w:val="00FF225C"/>
    <w:rsid w:val="00FF2CC5"/>
    <w:rsid w:val="00FF3070"/>
    <w:rsid w:val="00FF416E"/>
    <w:rsid w:val="00FF4D99"/>
    <w:rsid w:val="00FF66FF"/>
    <w:rsid w:val="00FF6725"/>
    <w:rsid w:val="00FF74D8"/>
    <w:rsid w:val="00FF788C"/>
    <w:rsid w:val="00FF7ED1"/>
    <w:rsid w:val="0683B01D"/>
    <w:rsid w:val="08BB0BE9"/>
    <w:rsid w:val="0E2FDFAC"/>
    <w:rsid w:val="0FA738ED"/>
    <w:rsid w:val="1472D9E6"/>
    <w:rsid w:val="1758D624"/>
    <w:rsid w:val="183BD34F"/>
    <w:rsid w:val="19362CBE"/>
    <w:rsid w:val="19FED58E"/>
    <w:rsid w:val="1A1655A0"/>
    <w:rsid w:val="1A72A5F2"/>
    <w:rsid w:val="1F2704F4"/>
    <w:rsid w:val="20C07AF5"/>
    <w:rsid w:val="221A437E"/>
    <w:rsid w:val="26890058"/>
    <w:rsid w:val="2D440B3A"/>
    <w:rsid w:val="2F21B0D7"/>
    <w:rsid w:val="2F9D7762"/>
    <w:rsid w:val="3226FD60"/>
    <w:rsid w:val="350B4218"/>
    <w:rsid w:val="36D0A774"/>
    <w:rsid w:val="38EAD9C6"/>
    <w:rsid w:val="399536CD"/>
    <w:rsid w:val="3A7D5DB6"/>
    <w:rsid w:val="3B5F824D"/>
    <w:rsid w:val="3E6C1B4B"/>
    <w:rsid w:val="4331565E"/>
    <w:rsid w:val="43BAE8AC"/>
    <w:rsid w:val="447F9F50"/>
    <w:rsid w:val="45BE07C2"/>
    <w:rsid w:val="4B6BC921"/>
    <w:rsid w:val="4E409C46"/>
    <w:rsid w:val="4F3AD610"/>
    <w:rsid w:val="52D60A89"/>
    <w:rsid w:val="54233D03"/>
    <w:rsid w:val="5CB5C3B6"/>
    <w:rsid w:val="5E4E1EB5"/>
    <w:rsid w:val="5FB953E5"/>
    <w:rsid w:val="62D81CA5"/>
    <w:rsid w:val="69440871"/>
    <w:rsid w:val="70B050B6"/>
    <w:rsid w:val="729BF002"/>
    <w:rsid w:val="734CA49A"/>
    <w:rsid w:val="7BEDE3FA"/>
    <w:rsid w:val="7C69A5F5"/>
    <w:rsid w:val="7F30506A"/>
  </w:rsids>
  <m:mathPr>
    <m:mathFont m:val="Cambria Math"/>
    <m:brkBin m:val="before"/>
    <m:brkBinSub m:val="--"/>
    <m:smallFrac m:val="0"/>
    <m:dispDef/>
    <m:lMargin m:val="0"/>
    <m:rMargin m:val="0"/>
    <m:defJc m:val="centerGroup"/>
    <m:wrapIndent m:val="1440"/>
    <m:intLim m:val="subSup"/>
    <m:naryLim m:val="undOvr"/>
  </m:mathPr>
  <w:themeFontLang w:val="en-AU"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D16569"/>
  <w15:chartTrackingRefBased/>
  <w15:docId w15:val="{AE1400DC-6EDA-4C39-ACE4-55FD35D2DE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234A"/>
    <w:rPr>
      <w:rFonts w:ascii="Arial" w:hAnsi="Arial"/>
    </w:rPr>
  </w:style>
  <w:style w:type="paragraph" w:styleId="Heading1">
    <w:name w:val="heading 1"/>
    <w:basedOn w:val="Normal"/>
    <w:next w:val="Normal"/>
    <w:link w:val="Heading1Char"/>
    <w:uiPriority w:val="9"/>
    <w:qFormat/>
    <w:rsid w:val="004810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810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810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810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810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810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810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810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810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10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810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810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810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810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810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810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810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8104E"/>
    <w:rPr>
      <w:rFonts w:eastAsiaTheme="majorEastAsia" w:cstheme="majorBidi"/>
      <w:color w:val="272727" w:themeColor="text1" w:themeTint="D8"/>
    </w:rPr>
  </w:style>
  <w:style w:type="paragraph" w:styleId="Title">
    <w:name w:val="Title"/>
    <w:basedOn w:val="Normal"/>
    <w:next w:val="Normal"/>
    <w:link w:val="TitleChar"/>
    <w:uiPriority w:val="10"/>
    <w:qFormat/>
    <w:rsid w:val="004810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810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810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810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8104E"/>
    <w:pPr>
      <w:spacing w:before="160"/>
      <w:jc w:val="center"/>
    </w:pPr>
    <w:rPr>
      <w:i/>
      <w:iCs/>
      <w:color w:val="404040" w:themeColor="text1" w:themeTint="BF"/>
    </w:rPr>
  </w:style>
  <w:style w:type="character" w:customStyle="1" w:styleId="QuoteChar">
    <w:name w:val="Quote Char"/>
    <w:basedOn w:val="DefaultParagraphFont"/>
    <w:link w:val="Quote"/>
    <w:uiPriority w:val="29"/>
    <w:rsid w:val="0048104E"/>
    <w:rPr>
      <w:i/>
      <w:iCs/>
      <w:color w:val="404040" w:themeColor="text1" w:themeTint="BF"/>
    </w:rPr>
  </w:style>
  <w:style w:type="paragraph" w:styleId="ListParagraph">
    <w:name w:val="List Paragraph"/>
    <w:basedOn w:val="Normal"/>
    <w:uiPriority w:val="34"/>
    <w:qFormat/>
    <w:rsid w:val="0048104E"/>
    <w:pPr>
      <w:ind w:left="720"/>
      <w:contextualSpacing/>
    </w:pPr>
  </w:style>
  <w:style w:type="character" w:styleId="IntenseEmphasis">
    <w:name w:val="Intense Emphasis"/>
    <w:basedOn w:val="DefaultParagraphFont"/>
    <w:uiPriority w:val="21"/>
    <w:qFormat/>
    <w:rsid w:val="0048104E"/>
    <w:rPr>
      <w:i/>
      <w:iCs/>
      <w:color w:val="0F4761" w:themeColor="accent1" w:themeShade="BF"/>
    </w:rPr>
  </w:style>
  <w:style w:type="paragraph" w:styleId="IntenseQuote">
    <w:name w:val="Intense Quote"/>
    <w:basedOn w:val="Normal"/>
    <w:next w:val="Normal"/>
    <w:link w:val="IntenseQuoteChar"/>
    <w:uiPriority w:val="30"/>
    <w:qFormat/>
    <w:rsid w:val="004810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8104E"/>
    <w:rPr>
      <w:i/>
      <w:iCs/>
      <w:color w:val="0F4761" w:themeColor="accent1" w:themeShade="BF"/>
    </w:rPr>
  </w:style>
  <w:style w:type="character" w:styleId="IntenseReference">
    <w:name w:val="Intense Reference"/>
    <w:basedOn w:val="DefaultParagraphFont"/>
    <w:uiPriority w:val="32"/>
    <w:qFormat/>
    <w:rsid w:val="0048104E"/>
    <w:rPr>
      <w:b/>
      <w:bCs/>
      <w:smallCaps/>
      <w:color w:val="0F4761" w:themeColor="accent1" w:themeShade="BF"/>
      <w:spacing w:val="5"/>
    </w:rPr>
  </w:style>
  <w:style w:type="paragraph" w:styleId="FootnoteText">
    <w:name w:val="footnote text"/>
    <w:basedOn w:val="Normal"/>
    <w:link w:val="FootnoteTextChar"/>
    <w:uiPriority w:val="99"/>
    <w:semiHidden/>
    <w:unhideWhenUsed/>
    <w:rsid w:val="00C82B1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82B15"/>
    <w:rPr>
      <w:sz w:val="20"/>
      <w:szCs w:val="20"/>
    </w:rPr>
  </w:style>
  <w:style w:type="character" w:styleId="FootnoteReference">
    <w:name w:val="footnote reference"/>
    <w:basedOn w:val="DefaultParagraphFont"/>
    <w:uiPriority w:val="99"/>
    <w:semiHidden/>
    <w:unhideWhenUsed/>
    <w:rsid w:val="00C82B15"/>
    <w:rPr>
      <w:vertAlign w:val="superscript"/>
    </w:rPr>
  </w:style>
  <w:style w:type="character" w:styleId="Hyperlink">
    <w:name w:val="Hyperlink"/>
    <w:basedOn w:val="DefaultParagraphFont"/>
    <w:uiPriority w:val="99"/>
    <w:unhideWhenUsed/>
    <w:rsid w:val="00C82B15"/>
    <w:rPr>
      <w:color w:val="0000FF"/>
      <w:u w:val="single"/>
    </w:rPr>
  </w:style>
  <w:style w:type="character" w:styleId="CommentReference">
    <w:name w:val="annotation reference"/>
    <w:basedOn w:val="DefaultParagraphFont"/>
    <w:uiPriority w:val="99"/>
    <w:semiHidden/>
    <w:unhideWhenUsed/>
    <w:rsid w:val="00CB658A"/>
    <w:rPr>
      <w:sz w:val="16"/>
      <w:szCs w:val="16"/>
    </w:rPr>
  </w:style>
  <w:style w:type="paragraph" w:styleId="CommentText">
    <w:name w:val="annotation text"/>
    <w:basedOn w:val="Normal"/>
    <w:link w:val="CommentTextChar"/>
    <w:uiPriority w:val="99"/>
    <w:unhideWhenUsed/>
    <w:rsid w:val="00CB658A"/>
    <w:pPr>
      <w:spacing w:line="240" w:lineRule="auto"/>
    </w:pPr>
    <w:rPr>
      <w:sz w:val="20"/>
      <w:szCs w:val="20"/>
    </w:rPr>
  </w:style>
  <w:style w:type="character" w:customStyle="1" w:styleId="CommentTextChar">
    <w:name w:val="Comment Text Char"/>
    <w:basedOn w:val="DefaultParagraphFont"/>
    <w:link w:val="CommentText"/>
    <w:uiPriority w:val="99"/>
    <w:rsid w:val="00CB658A"/>
    <w:rPr>
      <w:sz w:val="20"/>
      <w:szCs w:val="20"/>
    </w:rPr>
  </w:style>
  <w:style w:type="paragraph" w:styleId="CommentSubject">
    <w:name w:val="annotation subject"/>
    <w:basedOn w:val="CommentText"/>
    <w:next w:val="CommentText"/>
    <w:link w:val="CommentSubjectChar"/>
    <w:uiPriority w:val="99"/>
    <w:semiHidden/>
    <w:unhideWhenUsed/>
    <w:rsid w:val="00CB658A"/>
    <w:rPr>
      <w:b/>
      <w:bCs/>
    </w:rPr>
  </w:style>
  <w:style w:type="character" w:customStyle="1" w:styleId="CommentSubjectChar">
    <w:name w:val="Comment Subject Char"/>
    <w:basedOn w:val="CommentTextChar"/>
    <w:link w:val="CommentSubject"/>
    <w:uiPriority w:val="99"/>
    <w:semiHidden/>
    <w:rsid w:val="00CB658A"/>
    <w:rPr>
      <w:b/>
      <w:bCs/>
      <w:sz w:val="20"/>
      <w:szCs w:val="20"/>
    </w:rPr>
  </w:style>
  <w:style w:type="character" w:styleId="UnresolvedMention">
    <w:name w:val="Unresolved Mention"/>
    <w:basedOn w:val="DefaultParagraphFont"/>
    <w:uiPriority w:val="99"/>
    <w:semiHidden/>
    <w:unhideWhenUsed/>
    <w:rsid w:val="00DC19DA"/>
    <w:rPr>
      <w:color w:val="605E5C"/>
      <w:shd w:val="clear" w:color="auto" w:fill="E1DFDD"/>
    </w:rPr>
  </w:style>
  <w:style w:type="paragraph" w:styleId="Revision">
    <w:name w:val="Revision"/>
    <w:hidden/>
    <w:uiPriority w:val="99"/>
    <w:semiHidden/>
    <w:rsid w:val="00B9444C"/>
    <w:pPr>
      <w:spacing w:after="0" w:line="240" w:lineRule="auto"/>
    </w:pPr>
  </w:style>
  <w:style w:type="paragraph" w:styleId="Header">
    <w:name w:val="header"/>
    <w:basedOn w:val="Normal"/>
    <w:link w:val="HeaderChar"/>
    <w:uiPriority w:val="99"/>
    <w:unhideWhenUsed/>
    <w:rsid w:val="00B335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335F2"/>
  </w:style>
  <w:style w:type="paragraph" w:styleId="Footer">
    <w:name w:val="footer"/>
    <w:basedOn w:val="Normal"/>
    <w:link w:val="FooterChar"/>
    <w:uiPriority w:val="99"/>
    <w:unhideWhenUsed/>
    <w:rsid w:val="00B335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335F2"/>
  </w:style>
  <w:style w:type="character" w:styleId="FollowedHyperlink">
    <w:name w:val="FollowedHyperlink"/>
    <w:basedOn w:val="DefaultParagraphFont"/>
    <w:uiPriority w:val="99"/>
    <w:semiHidden/>
    <w:unhideWhenUsed/>
    <w:rsid w:val="004D5D67"/>
    <w:rPr>
      <w:color w:val="96607D" w:themeColor="followedHyperlink"/>
      <w:u w:val="single"/>
    </w:rPr>
  </w:style>
  <w:style w:type="paragraph" w:styleId="TOCHeading">
    <w:name w:val="TOC Heading"/>
    <w:basedOn w:val="Heading1"/>
    <w:next w:val="Normal"/>
    <w:uiPriority w:val="39"/>
    <w:unhideWhenUsed/>
    <w:qFormat/>
    <w:rsid w:val="00BB08C8"/>
    <w:pPr>
      <w:spacing w:before="240" w:after="0"/>
      <w:outlineLvl w:val="9"/>
    </w:pPr>
    <w:rPr>
      <w:kern w:val="0"/>
      <w:sz w:val="32"/>
      <w:szCs w:val="32"/>
      <w:lang w:val="en-US"/>
    </w:rPr>
  </w:style>
  <w:style w:type="paragraph" w:styleId="TOC1">
    <w:name w:val="toc 1"/>
    <w:basedOn w:val="Normal"/>
    <w:next w:val="Normal"/>
    <w:autoRedefine/>
    <w:uiPriority w:val="39"/>
    <w:unhideWhenUsed/>
    <w:rsid w:val="00BB08C8"/>
    <w:pPr>
      <w:spacing w:after="100"/>
    </w:pPr>
  </w:style>
  <w:style w:type="paragraph" w:styleId="TOC2">
    <w:name w:val="toc 2"/>
    <w:basedOn w:val="Normal"/>
    <w:next w:val="Normal"/>
    <w:autoRedefine/>
    <w:uiPriority w:val="39"/>
    <w:unhideWhenUsed/>
    <w:rsid w:val="00BB08C8"/>
    <w:pPr>
      <w:spacing w:after="100"/>
      <w:ind w:left="220"/>
    </w:pPr>
  </w:style>
  <w:style w:type="paragraph" w:styleId="TOC3">
    <w:name w:val="toc 3"/>
    <w:basedOn w:val="Normal"/>
    <w:next w:val="Normal"/>
    <w:autoRedefine/>
    <w:uiPriority w:val="39"/>
    <w:unhideWhenUsed/>
    <w:rsid w:val="00BB08C8"/>
    <w:pPr>
      <w:spacing w:after="100"/>
      <w:ind w:left="440"/>
    </w:pPr>
  </w:style>
  <w:style w:type="table" w:styleId="TableGrid">
    <w:name w:val="Table Grid"/>
    <w:basedOn w:val="TableNormal"/>
    <w:uiPriority w:val="39"/>
    <w:rsid w:val="00C12B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C12B54"/>
  </w:style>
  <w:style w:type="paragraph" w:customStyle="1" w:styleId="elementtoproof">
    <w:name w:val="elementtoproof"/>
    <w:basedOn w:val="Normal"/>
    <w:rsid w:val="00C12B54"/>
    <w:pPr>
      <w:spacing w:before="100" w:beforeAutospacing="1" w:after="100" w:afterAutospacing="1" w:line="240" w:lineRule="auto"/>
    </w:pPr>
    <w:rPr>
      <w:rFonts w:ascii="MS PGothic" w:eastAsia="MS PGothic" w:hAnsi="MS PGothic" w:cs="MS PGothic"/>
      <w:kern w:val="0"/>
      <w:sz w:val="24"/>
      <w:szCs w:val="24"/>
      <w:lang w:eastAsia="ja-JP"/>
    </w:rPr>
  </w:style>
  <w:style w:type="character" w:styleId="Mention">
    <w:name w:val="Mention"/>
    <w:basedOn w:val="DefaultParagraphFont"/>
    <w:uiPriority w:val="99"/>
    <w:unhideWhenUsed/>
    <w:rsid w:val="002C06CA"/>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14913">
      <w:bodyDiv w:val="1"/>
      <w:marLeft w:val="0"/>
      <w:marRight w:val="0"/>
      <w:marTop w:val="0"/>
      <w:marBottom w:val="0"/>
      <w:divBdr>
        <w:top w:val="none" w:sz="0" w:space="0" w:color="auto"/>
        <w:left w:val="none" w:sz="0" w:space="0" w:color="auto"/>
        <w:bottom w:val="none" w:sz="0" w:space="0" w:color="auto"/>
        <w:right w:val="none" w:sz="0" w:space="0" w:color="auto"/>
      </w:divBdr>
    </w:div>
    <w:div w:id="34820723">
      <w:bodyDiv w:val="1"/>
      <w:marLeft w:val="0"/>
      <w:marRight w:val="0"/>
      <w:marTop w:val="0"/>
      <w:marBottom w:val="0"/>
      <w:divBdr>
        <w:top w:val="none" w:sz="0" w:space="0" w:color="auto"/>
        <w:left w:val="none" w:sz="0" w:space="0" w:color="auto"/>
        <w:bottom w:val="none" w:sz="0" w:space="0" w:color="auto"/>
        <w:right w:val="none" w:sz="0" w:space="0" w:color="auto"/>
      </w:divBdr>
    </w:div>
    <w:div w:id="278494816">
      <w:bodyDiv w:val="1"/>
      <w:marLeft w:val="0"/>
      <w:marRight w:val="0"/>
      <w:marTop w:val="0"/>
      <w:marBottom w:val="0"/>
      <w:divBdr>
        <w:top w:val="none" w:sz="0" w:space="0" w:color="auto"/>
        <w:left w:val="none" w:sz="0" w:space="0" w:color="auto"/>
        <w:bottom w:val="none" w:sz="0" w:space="0" w:color="auto"/>
        <w:right w:val="none" w:sz="0" w:space="0" w:color="auto"/>
      </w:divBdr>
    </w:div>
    <w:div w:id="290017568">
      <w:bodyDiv w:val="1"/>
      <w:marLeft w:val="0"/>
      <w:marRight w:val="0"/>
      <w:marTop w:val="0"/>
      <w:marBottom w:val="0"/>
      <w:divBdr>
        <w:top w:val="none" w:sz="0" w:space="0" w:color="auto"/>
        <w:left w:val="none" w:sz="0" w:space="0" w:color="auto"/>
        <w:bottom w:val="none" w:sz="0" w:space="0" w:color="auto"/>
        <w:right w:val="none" w:sz="0" w:space="0" w:color="auto"/>
      </w:divBdr>
    </w:div>
    <w:div w:id="371807805">
      <w:bodyDiv w:val="1"/>
      <w:marLeft w:val="0"/>
      <w:marRight w:val="0"/>
      <w:marTop w:val="0"/>
      <w:marBottom w:val="0"/>
      <w:divBdr>
        <w:top w:val="none" w:sz="0" w:space="0" w:color="auto"/>
        <w:left w:val="none" w:sz="0" w:space="0" w:color="auto"/>
        <w:bottom w:val="none" w:sz="0" w:space="0" w:color="auto"/>
        <w:right w:val="none" w:sz="0" w:space="0" w:color="auto"/>
      </w:divBdr>
    </w:div>
    <w:div w:id="397363876">
      <w:bodyDiv w:val="1"/>
      <w:marLeft w:val="0"/>
      <w:marRight w:val="0"/>
      <w:marTop w:val="0"/>
      <w:marBottom w:val="0"/>
      <w:divBdr>
        <w:top w:val="none" w:sz="0" w:space="0" w:color="auto"/>
        <w:left w:val="none" w:sz="0" w:space="0" w:color="auto"/>
        <w:bottom w:val="none" w:sz="0" w:space="0" w:color="auto"/>
        <w:right w:val="none" w:sz="0" w:space="0" w:color="auto"/>
      </w:divBdr>
    </w:div>
    <w:div w:id="418217940">
      <w:bodyDiv w:val="1"/>
      <w:marLeft w:val="0"/>
      <w:marRight w:val="0"/>
      <w:marTop w:val="0"/>
      <w:marBottom w:val="0"/>
      <w:divBdr>
        <w:top w:val="none" w:sz="0" w:space="0" w:color="auto"/>
        <w:left w:val="none" w:sz="0" w:space="0" w:color="auto"/>
        <w:bottom w:val="none" w:sz="0" w:space="0" w:color="auto"/>
        <w:right w:val="none" w:sz="0" w:space="0" w:color="auto"/>
      </w:divBdr>
    </w:div>
    <w:div w:id="436147052">
      <w:bodyDiv w:val="1"/>
      <w:marLeft w:val="0"/>
      <w:marRight w:val="0"/>
      <w:marTop w:val="0"/>
      <w:marBottom w:val="0"/>
      <w:divBdr>
        <w:top w:val="none" w:sz="0" w:space="0" w:color="auto"/>
        <w:left w:val="none" w:sz="0" w:space="0" w:color="auto"/>
        <w:bottom w:val="none" w:sz="0" w:space="0" w:color="auto"/>
        <w:right w:val="none" w:sz="0" w:space="0" w:color="auto"/>
      </w:divBdr>
    </w:div>
    <w:div w:id="481046487">
      <w:bodyDiv w:val="1"/>
      <w:marLeft w:val="0"/>
      <w:marRight w:val="0"/>
      <w:marTop w:val="0"/>
      <w:marBottom w:val="0"/>
      <w:divBdr>
        <w:top w:val="none" w:sz="0" w:space="0" w:color="auto"/>
        <w:left w:val="none" w:sz="0" w:space="0" w:color="auto"/>
        <w:bottom w:val="none" w:sz="0" w:space="0" w:color="auto"/>
        <w:right w:val="none" w:sz="0" w:space="0" w:color="auto"/>
      </w:divBdr>
    </w:div>
    <w:div w:id="510337971">
      <w:bodyDiv w:val="1"/>
      <w:marLeft w:val="0"/>
      <w:marRight w:val="0"/>
      <w:marTop w:val="0"/>
      <w:marBottom w:val="0"/>
      <w:divBdr>
        <w:top w:val="none" w:sz="0" w:space="0" w:color="auto"/>
        <w:left w:val="none" w:sz="0" w:space="0" w:color="auto"/>
        <w:bottom w:val="none" w:sz="0" w:space="0" w:color="auto"/>
        <w:right w:val="none" w:sz="0" w:space="0" w:color="auto"/>
      </w:divBdr>
    </w:div>
    <w:div w:id="950433729">
      <w:bodyDiv w:val="1"/>
      <w:marLeft w:val="0"/>
      <w:marRight w:val="0"/>
      <w:marTop w:val="0"/>
      <w:marBottom w:val="0"/>
      <w:divBdr>
        <w:top w:val="none" w:sz="0" w:space="0" w:color="auto"/>
        <w:left w:val="none" w:sz="0" w:space="0" w:color="auto"/>
        <w:bottom w:val="none" w:sz="0" w:space="0" w:color="auto"/>
        <w:right w:val="none" w:sz="0" w:space="0" w:color="auto"/>
      </w:divBdr>
    </w:div>
    <w:div w:id="950893718">
      <w:bodyDiv w:val="1"/>
      <w:marLeft w:val="0"/>
      <w:marRight w:val="0"/>
      <w:marTop w:val="0"/>
      <w:marBottom w:val="0"/>
      <w:divBdr>
        <w:top w:val="none" w:sz="0" w:space="0" w:color="auto"/>
        <w:left w:val="none" w:sz="0" w:space="0" w:color="auto"/>
        <w:bottom w:val="none" w:sz="0" w:space="0" w:color="auto"/>
        <w:right w:val="none" w:sz="0" w:space="0" w:color="auto"/>
      </w:divBdr>
    </w:div>
    <w:div w:id="984117229">
      <w:bodyDiv w:val="1"/>
      <w:marLeft w:val="0"/>
      <w:marRight w:val="0"/>
      <w:marTop w:val="0"/>
      <w:marBottom w:val="0"/>
      <w:divBdr>
        <w:top w:val="none" w:sz="0" w:space="0" w:color="auto"/>
        <w:left w:val="none" w:sz="0" w:space="0" w:color="auto"/>
        <w:bottom w:val="none" w:sz="0" w:space="0" w:color="auto"/>
        <w:right w:val="none" w:sz="0" w:space="0" w:color="auto"/>
      </w:divBdr>
    </w:div>
    <w:div w:id="1169250348">
      <w:bodyDiv w:val="1"/>
      <w:marLeft w:val="0"/>
      <w:marRight w:val="0"/>
      <w:marTop w:val="0"/>
      <w:marBottom w:val="0"/>
      <w:divBdr>
        <w:top w:val="none" w:sz="0" w:space="0" w:color="auto"/>
        <w:left w:val="none" w:sz="0" w:space="0" w:color="auto"/>
        <w:bottom w:val="none" w:sz="0" w:space="0" w:color="auto"/>
        <w:right w:val="none" w:sz="0" w:space="0" w:color="auto"/>
      </w:divBdr>
    </w:div>
    <w:div w:id="1397121710">
      <w:bodyDiv w:val="1"/>
      <w:marLeft w:val="0"/>
      <w:marRight w:val="0"/>
      <w:marTop w:val="0"/>
      <w:marBottom w:val="0"/>
      <w:divBdr>
        <w:top w:val="none" w:sz="0" w:space="0" w:color="auto"/>
        <w:left w:val="none" w:sz="0" w:space="0" w:color="auto"/>
        <w:bottom w:val="none" w:sz="0" w:space="0" w:color="auto"/>
        <w:right w:val="none" w:sz="0" w:space="0" w:color="auto"/>
      </w:divBdr>
    </w:div>
    <w:div w:id="1517882602">
      <w:bodyDiv w:val="1"/>
      <w:marLeft w:val="0"/>
      <w:marRight w:val="0"/>
      <w:marTop w:val="0"/>
      <w:marBottom w:val="0"/>
      <w:divBdr>
        <w:top w:val="none" w:sz="0" w:space="0" w:color="auto"/>
        <w:left w:val="none" w:sz="0" w:space="0" w:color="auto"/>
        <w:bottom w:val="none" w:sz="0" w:space="0" w:color="auto"/>
        <w:right w:val="none" w:sz="0" w:space="0" w:color="auto"/>
      </w:divBdr>
    </w:div>
    <w:div w:id="1655260378">
      <w:bodyDiv w:val="1"/>
      <w:marLeft w:val="0"/>
      <w:marRight w:val="0"/>
      <w:marTop w:val="0"/>
      <w:marBottom w:val="0"/>
      <w:divBdr>
        <w:top w:val="none" w:sz="0" w:space="0" w:color="auto"/>
        <w:left w:val="none" w:sz="0" w:space="0" w:color="auto"/>
        <w:bottom w:val="none" w:sz="0" w:space="0" w:color="auto"/>
        <w:right w:val="none" w:sz="0" w:space="0" w:color="auto"/>
      </w:divBdr>
    </w:div>
    <w:div w:id="1719550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chart" Target="charts/chart1.xml"/><Relationship Id="rId17" Type="http://schemas.openxmlformats.org/officeDocument/2006/relationships/chart" Target="charts/chart5.xml"/><Relationship Id="rId2" Type="http://schemas.openxmlformats.org/officeDocument/2006/relationships/customXml" Target="../customXml/item2.xml"/><Relationship Id="rId16" Type="http://schemas.openxmlformats.org/officeDocument/2006/relationships/chart" Target="charts/chart4.xm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ublicadvocate.vic.gov.au/" TargetMode="External"/><Relationship Id="rId5" Type="http://schemas.openxmlformats.org/officeDocument/2006/relationships/numbering" Target="numbering.xml"/><Relationship Id="rId15" Type="http://schemas.openxmlformats.org/officeDocument/2006/relationships/chart" Target="charts/chart3.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chart" Target="charts/chart2.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publicadvocate.vic.gov.au/opa-s-work/research/580-reflections-on-guardianship-the-law-and-practice-in-victori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charts/_rels/chart1.xml.rels><?xml version="1.0" encoding="UTF-8" standalone="yes"?>
<Relationships xmlns="http://schemas.openxmlformats.org/package/2006/relationships"><Relationship Id="rId3" Type="http://schemas.openxmlformats.org/officeDocument/2006/relationships/oleObject" Target="https://vicgov-my.sharepoint.com/personal/lois_bedson_justice_vic_gov_au/Documents/NDIS%20vic%20adult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vicgov-my.sharepoint.com/personal/lois_bedson_justice_vic_gov_au/Documents/graphs.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vicgov-my.sharepoint.com/personal/lois_bedson_justice_vic_gov_au/Documents/graph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vicgov-my.sharepoint.com/personal/lois_bedson_justice_vic_gov_au/Documents/graph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vicgov-my.sharepoint.com/personal/lois_bedson_justice_vic_gov_au/Documents/reapps/Copy%20of%20lois_termsoforder.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Sheet2!$H$17</c:f>
              <c:strCache>
                <c:ptCount val="1"/>
                <c:pt idx="0">
                  <c:v>65 years and over</c:v>
                </c:pt>
              </c:strCache>
            </c:strRef>
          </c:tx>
          <c:spPr>
            <a:ln w="28575" cap="rnd">
              <a:solidFill>
                <a:schemeClr val="accent1"/>
              </a:solidFill>
              <a:round/>
            </a:ln>
            <a:effectLst/>
          </c:spPr>
          <c:marker>
            <c:symbol val="none"/>
          </c:marker>
          <c:cat>
            <c:strRef>
              <c:f>Sheet2!$G$18:$G$25</c:f>
              <c:strCache>
                <c:ptCount val="8"/>
                <c:pt idx="0">
                  <c:v>July 2017</c:v>
                </c:pt>
                <c:pt idx="1">
                  <c:v>July 2018</c:v>
                </c:pt>
                <c:pt idx="2">
                  <c:v>July 2019</c:v>
                </c:pt>
                <c:pt idx="3">
                  <c:v>July 2020</c:v>
                </c:pt>
                <c:pt idx="4">
                  <c:v>July 2021</c:v>
                </c:pt>
                <c:pt idx="5">
                  <c:v>July 2022</c:v>
                </c:pt>
                <c:pt idx="6">
                  <c:v>July 2023</c:v>
                </c:pt>
                <c:pt idx="7">
                  <c:v>July 2024</c:v>
                </c:pt>
              </c:strCache>
            </c:strRef>
          </c:cat>
          <c:val>
            <c:numRef>
              <c:f>Sheet2!$H$18:$H$25</c:f>
              <c:numCache>
                <c:formatCode>General</c:formatCode>
                <c:ptCount val="8"/>
                <c:pt idx="0">
                  <c:v>375</c:v>
                </c:pt>
                <c:pt idx="1">
                  <c:v>894</c:v>
                </c:pt>
                <c:pt idx="2">
                  <c:v>1875</c:v>
                </c:pt>
                <c:pt idx="3">
                  <c:v>3146</c:v>
                </c:pt>
                <c:pt idx="4">
                  <c:v>4471</c:v>
                </c:pt>
                <c:pt idx="5">
                  <c:v>5829</c:v>
                </c:pt>
                <c:pt idx="6">
                  <c:v>7359</c:v>
                </c:pt>
                <c:pt idx="7">
                  <c:v>8821</c:v>
                </c:pt>
              </c:numCache>
            </c:numRef>
          </c:val>
          <c:smooth val="0"/>
          <c:extLst>
            <c:ext xmlns:c16="http://schemas.microsoft.com/office/drawing/2014/chart" uri="{C3380CC4-5D6E-409C-BE32-E72D297353CC}">
              <c16:uniqueId val="{00000000-E147-4469-B616-6B565D064574}"/>
            </c:ext>
          </c:extLst>
        </c:ser>
        <c:ser>
          <c:idx val="1"/>
          <c:order val="1"/>
          <c:tx>
            <c:strRef>
              <c:f>Sheet2!$I$17</c:f>
              <c:strCache>
                <c:ptCount val="1"/>
                <c:pt idx="0">
                  <c:v>Under 65 years</c:v>
                </c:pt>
              </c:strCache>
            </c:strRef>
          </c:tx>
          <c:spPr>
            <a:ln w="28575" cap="rnd">
              <a:solidFill>
                <a:schemeClr val="accent2"/>
              </a:solidFill>
              <a:round/>
            </a:ln>
            <a:effectLst/>
          </c:spPr>
          <c:marker>
            <c:symbol val="none"/>
          </c:marker>
          <c:cat>
            <c:strRef>
              <c:f>Sheet2!$G$18:$G$25</c:f>
              <c:strCache>
                <c:ptCount val="8"/>
                <c:pt idx="0">
                  <c:v>July 2017</c:v>
                </c:pt>
                <c:pt idx="1">
                  <c:v>July 2018</c:v>
                </c:pt>
                <c:pt idx="2">
                  <c:v>July 2019</c:v>
                </c:pt>
                <c:pt idx="3">
                  <c:v>July 2020</c:v>
                </c:pt>
                <c:pt idx="4">
                  <c:v>July 2021</c:v>
                </c:pt>
                <c:pt idx="5">
                  <c:v>July 2022</c:v>
                </c:pt>
                <c:pt idx="6">
                  <c:v>July 2023</c:v>
                </c:pt>
                <c:pt idx="7">
                  <c:v>July 2024</c:v>
                </c:pt>
              </c:strCache>
            </c:strRef>
          </c:cat>
          <c:val>
            <c:numRef>
              <c:f>Sheet2!$I$18:$I$25</c:f>
              <c:numCache>
                <c:formatCode>General</c:formatCode>
                <c:ptCount val="8"/>
                <c:pt idx="0">
                  <c:v>10086</c:v>
                </c:pt>
                <c:pt idx="1">
                  <c:v>25852</c:v>
                </c:pt>
                <c:pt idx="2">
                  <c:v>43848</c:v>
                </c:pt>
                <c:pt idx="3">
                  <c:v>53831</c:v>
                </c:pt>
                <c:pt idx="4">
                  <c:v>60730</c:v>
                </c:pt>
                <c:pt idx="5">
                  <c:v>66829</c:v>
                </c:pt>
                <c:pt idx="6">
                  <c:v>72748</c:v>
                </c:pt>
                <c:pt idx="7">
                  <c:v>76548</c:v>
                </c:pt>
              </c:numCache>
            </c:numRef>
          </c:val>
          <c:smooth val="0"/>
          <c:extLst>
            <c:ext xmlns:c16="http://schemas.microsoft.com/office/drawing/2014/chart" uri="{C3380CC4-5D6E-409C-BE32-E72D297353CC}">
              <c16:uniqueId val="{00000001-E147-4469-B616-6B565D064574}"/>
            </c:ext>
          </c:extLst>
        </c:ser>
        <c:dLbls>
          <c:showLegendKey val="0"/>
          <c:showVal val="0"/>
          <c:showCatName val="0"/>
          <c:showSerName val="0"/>
          <c:showPercent val="0"/>
          <c:showBubbleSize val="0"/>
        </c:dLbls>
        <c:smooth val="0"/>
        <c:axId val="712813912"/>
        <c:axId val="712806712"/>
      </c:lineChart>
      <c:catAx>
        <c:axId val="712813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806712"/>
        <c:crosses val="autoZero"/>
        <c:auto val="1"/>
        <c:lblAlgn val="ctr"/>
        <c:lblOffset val="100"/>
        <c:noMultiLvlLbl val="0"/>
      </c:catAx>
      <c:valAx>
        <c:axId val="71280671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12813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Sheet1!$M$2</c:f>
              <c:strCache>
                <c:ptCount val="1"/>
                <c:pt idx="0">
                  <c:v>Total orders</c:v>
                </c:pt>
              </c:strCache>
            </c:strRef>
          </c:tx>
          <c:spPr>
            <a:solidFill>
              <a:schemeClr val="accent1"/>
            </a:solidFill>
            <a:ln>
              <a:noFill/>
            </a:ln>
            <a:effectLst/>
          </c:spPr>
          <c:invertIfNegative val="0"/>
          <c:cat>
            <c:strRef>
              <c:f>Sheet1!$L$3:$L$16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Sheet1!$M$3:$M$16</c:f>
              <c:numCache>
                <c:formatCode>General</c:formatCode>
                <c:ptCount val="14"/>
                <c:pt idx="0">
                  <c:v>855</c:v>
                </c:pt>
                <c:pt idx="1">
                  <c:v>836</c:v>
                </c:pt>
                <c:pt idx="2">
                  <c:v>746</c:v>
                </c:pt>
                <c:pt idx="3">
                  <c:v>725</c:v>
                </c:pt>
                <c:pt idx="4">
                  <c:v>734</c:v>
                </c:pt>
                <c:pt idx="5">
                  <c:v>815</c:v>
                </c:pt>
                <c:pt idx="6">
                  <c:v>944</c:v>
                </c:pt>
                <c:pt idx="7">
                  <c:v>949</c:v>
                </c:pt>
                <c:pt idx="8">
                  <c:v>955</c:v>
                </c:pt>
                <c:pt idx="9">
                  <c:v>942</c:v>
                </c:pt>
                <c:pt idx="10">
                  <c:v>964</c:v>
                </c:pt>
                <c:pt idx="11">
                  <c:v>972</c:v>
                </c:pt>
                <c:pt idx="12">
                  <c:v>975</c:v>
                </c:pt>
                <c:pt idx="13">
                  <c:v>851</c:v>
                </c:pt>
              </c:numCache>
            </c:numRef>
          </c:val>
          <c:extLst>
            <c:ext xmlns:c16="http://schemas.microsoft.com/office/drawing/2014/chart" uri="{C3380CC4-5D6E-409C-BE32-E72D297353CC}">
              <c16:uniqueId val="{00000000-4EA4-4686-984B-B01175564DFA}"/>
            </c:ext>
          </c:extLst>
        </c:ser>
        <c:dLbls>
          <c:showLegendKey val="0"/>
          <c:showVal val="0"/>
          <c:showCatName val="0"/>
          <c:showSerName val="0"/>
          <c:showPercent val="0"/>
          <c:showBubbleSize val="0"/>
        </c:dLbls>
        <c:gapWidth val="219"/>
        <c:axId val="734579104"/>
        <c:axId val="734587024"/>
      </c:barChart>
      <c:lineChart>
        <c:grouping val="standard"/>
        <c:varyColors val="0"/>
        <c:ser>
          <c:idx val="1"/>
          <c:order val="1"/>
          <c:tx>
            <c:strRef>
              <c:f>Sheet1!$N$2</c:f>
              <c:strCache>
                <c:ptCount val="1"/>
                <c:pt idx="0">
                  <c:v>Reappointment %</c:v>
                </c:pt>
              </c:strCache>
            </c:strRef>
          </c:tx>
          <c:spPr>
            <a:ln w="28575" cap="rnd">
              <a:solidFill>
                <a:schemeClr val="accent2"/>
              </a:solidFill>
              <a:round/>
            </a:ln>
            <a:effectLst/>
          </c:spPr>
          <c:marker>
            <c:symbol val="none"/>
          </c:marker>
          <c:cat>
            <c:strRef>
              <c:f>Sheet1!$L$3:$L$16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Sheet1!$N$3:$N$16</c:f>
              <c:numCache>
                <c:formatCode>0.0%</c:formatCode>
                <c:ptCount val="14"/>
                <c:pt idx="0">
                  <c:v>0.28000000000000003</c:v>
                </c:pt>
                <c:pt idx="1">
                  <c:v>0.24199999999999999</c:v>
                </c:pt>
                <c:pt idx="2">
                  <c:v>0.24299999999999999</c:v>
                </c:pt>
                <c:pt idx="3">
                  <c:v>0.23499999999999999</c:v>
                </c:pt>
                <c:pt idx="4">
                  <c:v>0.26200000000000001</c:v>
                </c:pt>
                <c:pt idx="5">
                  <c:v>0.26800000000000002</c:v>
                </c:pt>
                <c:pt idx="6">
                  <c:v>0.28399999999999997</c:v>
                </c:pt>
                <c:pt idx="7">
                  <c:v>0.253</c:v>
                </c:pt>
                <c:pt idx="8">
                  <c:v>0.26300000000000001</c:v>
                </c:pt>
                <c:pt idx="9">
                  <c:v>0.33300000000000002</c:v>
                </c:pt>
                <c:pt idx="10">
                  <c:v>0.41899999999999998</c:v>
                </c:pt>
                <c:pt idx="11">
                  <c:v>0.32</c:v>
                </c:pt>
                <c:pt idx="12">
                  <c:v>0.497</c:v>
                </c:pt>
                <c:pt idx="13">
                  <c:v>0.41599999999999998</c:v>
                </c:pt>
              </c:numCache>
            </c:numRef>
          </c:val>
          <c:smooth val="0"/>
          <c:extLst>
            <c:ext xmlns:c16="http://schemas.microsoft.com/office/drawing/2014/chart" uri="{C3380CC4-5D6E-409C-BE32-E72D297353CC}">
              <c16:uniqueId val="{00000001-4EA4-4686-984B-B01175564DFA}"/>
            </c:ext>
          </c:extLst>
        </c:ser>
        <c:ser>
          <c:idx val="2"/>
          <c:order val="2"/>
          <c:tx>
            <c:strRef>
              <c:f>Sheet1!$O$2</c:f>
              <c:strCache>
                <c:ptCount val="1"/>
                <c:pt idx="0">
                  <c:v>Average of the 2 outliers</c:v>
                </c:pt>
              </c:strCache>
            </c:strRef>
          </c:tx>
          <c:spPr>
            <a:ln w="28575" cap="rnd">
              <a:solidFill>
                <a:schemeClr val="accent2">
                  <a:lumMod val="50000"/>
                </a:schemeClr>
              </a:solidFill>
              <a:prstDash val="sysDash"/>
              <a:round/>
            </a:ln>
            <a:effectLst/>
          </c:spPr>
          <c:marker>
            <c:symbol val="none"/>
          </c:marker>
          <c:cat>
            <c:strRef>
              <c:f>Sheet1!$L$3:$L$16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Sheet1!$O$3:$O$16</c:f>
              <c:numCache>
                <c:formatCode>General</c:formatCode>
                <c:ptCount val="14"/>
                <c:pt idx="10" formatCode="0.0%">
                  <c:v>0.40883410374935797</c:v>
                </c:pt>
                <c:pt idx="11" formatCode="0.0%">
                  <c:v>0.40883410374935797</c:v>
                </c:pt>
                <c:pt idx="12" formatCode="0.0%">
                  <c:v>0.40883410374935797</c:v>
                </c:pt>
                <c:pt idx="13" formatCode="0.0%">
                  <c:v>0.40883410374935797</c:v>
                </c:pt>
              </c:numCache>
            </c:numRef>
          </c:val>
          <c:smooth val="0"/>
          <c:extLst>
            <c:ext xmlns:c16="http://schemas.microsoft.com/office/drawing/2014/chart" uri="{C3380CC4-5D6E-409C-BE32-E72D297353CC}">
              <c16:uniqueId val="{00000002-4EA4-4686-984B-B01175564DFA}"/>
            </c:ext>
          </c:extLst>
        </c:ser>
        <c:dLbls>
          <c:showLegendKey val="0"/>
          <c:showVal val="0"/>
          <c:showCatName val="0"/>
          <c:showSerName val="0"/>
          <c:showPercent val="0"/>
          <c:showBubbleSize val="0"/>
        </c:dLbls>
        <c:marker val="1"/>
        <c:smooth val="0"/>
        <c:axId val="734718104"/>
        <c:axId val="734713424"/>
      </c:lineChart>
      <c:catAx>
        <c:axId val="73457910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587024"/>
        <c:crosses val="autoZero"/>
        <c:auto val="1"/>
        <c:lblAlgn val="ctr"/>
        <c:lblOffset val="100"/>
        <c:noMultiLvlLbl val="0"/>
      </c:catAx>
      <c:valAx>
        <c:axId val="7345870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579104"/>
        <c:crosses val="autoZero"/>
        <c:crossBetween val="between"/>
      </c:valAx>
      <c:valAx>
        <c:axId val="734713424"/>
        <c:scaling>
          <c:orientation val="minMax"/>
          <c:max val="0.70000000000000007"/>
        </c:scaling>
        <c:delete val="0"/>
        <c:axPos val="r"/>
        <c:numFmt formatCode="0%" sourceLinked="0"/>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718104"/>
        <c:crosses val="max"/>
        <c:crossBetween val="between"/>
      </c:valAx>
      <c:catAx>
        <c:axId val="734718104"/>
        <c:scaling>
          <c:orientation val="minMax"/>
        </c:scaling>
        <c:delete val="1"/>
        <c:axPos val="b"/>
        <c:numFmt formatCode="General" sourceLinked="1"/>
        <c:majorTickMark val="out"/>
        <c:minorTickMark val="none"/>
        <c:tickLblPos val="nextTo"/>
        <c:crossAx val="73471342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Sheet1!$Q$2</c:f>
              <c:strCache>
                <c:ptCount val="1"/>
                <c:pt idx="0">
                  <c:v>Total orders</c:v>
                </c:pt>
              </c:strCache>
            </c:strRef>
          </c:tx>
          <c:spPr>
            <a:solidFill>
              <a:schemeClr val="accent1"/>
            </a:solidFill>
            <a:ln>
              <a:noFill/>
            </a:ln>
            <a:effectLst/>
          </c:spPr>
          <c:invertIfNegative val="0"/>
          <c:cat>
            <c:strRef>
              <c:f>Sheet1!$P$3:$P$16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Sheet1!$Q$3:$Q$16</c:f>
              <c:numCache>
                <c:formatCode>General</c:formatCode>
                <c:ptCount val="14"/>
                <c:pt idx="0">
                  <c:v>217</c:v>
                </c:pt>
                <c:pt idx="1">
                  <c:v>223</c:v>
                </c:pt>
                <c:pt idx="2">
                  <c:v>191</c:v>
                </c:pt>
                <c:pt idx="3">
                  <c:v>195</c:v>
                </c:pt>
                <c:pt idx="4">
                  <c:v>207</c:v>
                </c:pt>
                <c:pt idx="5">
                  <c:v>264</c:v>
                </c:pt>
                <c:pt idx="6">
                  <c:v>310</c:v>
                </c:pt>
                <c:pt idx="7">
                  <c:v>314</c:v>
                </c:pt>
                <c:pt idx="8">
                  <c:v>378</c:v>
                </c:pt>
                <c:pt idx="9">
                  <c:v>417</c:v>
                </c:pt>
                <c:pt idx="10">
                  <c:v>478</c:v>
                </c:pt>
                <c:pt idx="11">
                  <c:v>487</c:v>
                </c:pt>
                <c:pt idx="12">
                  <c:v>479</c:v>
                </c:pt>
                <c:pt idx="13">
                  <c:v>466</c:v>
                </c:pt>
              </c:numCache>
            </c:numRef>
          </c:val>
          <c:extLst>
            <c:ext xmlns:c16="http://schemas.microsoft.com/office/drawing/2014/chart" uri="{C3380CC4-5D6E-409C-BE32-E72D297353CC}">
              <c16:uniqueId val="{00000000-8054-4B35-82D1-66A89C693E25}"/>
            </c:ext>
          </c:extLst>
        </c:ser>
        <c:dLbls>
          <c:showLegendKey val="0"/>
          <c:showVal val="0"/>
          <c:showCatName val="0"/>
          <c:showSerName val="0"/>
          <c:showPercent val="0"/>
          <c:showBubbleSize val="0"/>
        </c:dLbls>
        <c:gapWidth val="219"/>
        <c:overlap val="-27"/>
        <c:axId val="734581984"/>
        <c:axId val="734588464"/>
      </c:barChart>
      <c:lineChart>
        <c:grouping val="standard"/>
        <c:varyColors val="0"/>
        <c:ser>
          <c:idx val="1"/>
          <c:order val="1"/>
          <c:tx>
            <c:strRef>
              <c:f>Sheet1!$R$2</c:f>
              <c:strCache>
                <c:ptCount val="1"/>
                <c:pt idx="0">
                  <c:v>Reappointment %</c:v>
                </c:pt>
              </c:strCache>
            </c:strRef>
          </c:tx>
          <c:spPr>
            <a:ln w="28575" cap="rnd">
              <a:solidFill>
                <a:schemeClr val="accent2"/>
              </a:solidFill>
              <a:round/>
            </a:ln>
            <a:effectLst/>
          </c:spPr>
          <c:marker>
            <c:symbol val="none"/>
          </c:marker>
          <c:cat>
            <c:strRef>
              <c:f>Sheet1!$P$3:$P$16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Sheet1!$R$3:$R$16</c:f>
              <c:numCache>
                <c:formatCode>0.0%</c:formatCode>
                <c:ptCount val="14"/>
                <c:pt idx="0">
                  <c:v>0.33200000000000002</c:v>
                </c:pt>
                <c:pt idx="1">
                  <c:v>0.33600000000000002</c:v>
                </c:pt>
                <c:pt idx="2">
                  <c:v>0.30399999999999999</c:v>
                </c:pt>
                <c:pt idx="3">
                  <c:v>0.34399999999999997</c:v>
                </c:pt>
                <c:pt idx="4">
                  <c:v>0.33800000000000002</c:v>
                </c:pt>
                <c:pt idx="5">
                  <c:v>0.34899999999999998</c:v>
                </c:pt>
                <c:pt idx="6">
                  <c:v>0.371</c:v>
                </c:pt>
                <c:pt idx="7">
                  <c:v>0.34100000000000003</c:v>
                </c:pt>
                <c:pt idx="8">
                  <c:v>0.34200000000000003</c:v>
                </c:pt>
                <c:pt idx="9">
                  <c:v>0.434</c:v>
                </c:pt>
                <c:pt idx="10">
                  <c:v>0.57699999999999996</c:v>
                </c:pt>
                <c:pt idx="11">
                  <c:v>0.44600000000000001</c:v>
                </c:pt>
                <c:pt idx="12">
                  <c:v>0.63200000000000001</c:v>
                </c:pt>
                <c:pt idx="13">
                  <c:v>0.55400000000000005</c:v>
                </c:pt>
              </c:numCache>
            </c:numRef>
          </c:val>
          <c:smooth val="0"/>
          <c:extLst>
            <c:ext xmlns:c16="http://schemas.microsoft.com/office/drawing/2014/chart" uri="{C3380CC4-5D6E-409C-BE32-E72D297353CC}">
              <c16:uniqueId val="{00000001-8054-4B35-82D1-66A89C693E25}"/>
            </c:ext>
          </c:extLst>
        </c:ser>
        <c:ser>
          <c:idx val="2"/>
          <c:order val="2"/>
          <c:tx>
            <c:strRef>
              <c:f>Sheet1!$S$2</c:f>
              <c:strCache>
                <c:ptCount val="1"/>
                <c:pt idx="0">
                  <c:v>Average of the 2 outliers</c:v>
                </c:pt>
              </c:strCache>
            </c:strRef>
          </c:tx>
          <c:spPr>
            <a:ln w="28575" cap="rnd">
              <a:solidFill>
                <a:schemeClr val="accent2">
                  <a:lumMod val="50000"/>
                </a:schemeClr>
              </a:solidFill>
              <a:prstDash val="sysDash"/>
              <a:round/>
            </a:ln>
            <a:effectLst/>
          </c:spPr>
          <c:marker>
            <c:symbol val="none"/>
          </c:marker>
          <c:cat>
            <c:strRef>
              <c:f>Sheet1!$P$3:$P$16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Sheet1!$S$3:$S$16</c:f>
              <c:numCache>
                <c:formatCode>General</c:formatCode>
                <c:ptCount val="14"/>
                <c:pt idx="10" formatCode="0.0%">
                  <c:v>0.54690431519699811</c:v>
                </c:pt>
                <c:pt idx="11" formatCode="0.0%">
                  <c:v>0.54690431519699811</c:v>
                </c:pt>
                <c:pt idx="12" formatCode="0.0%">
                  <c:v>0.54690431519699811</c:v>
                </c:pt>
                <c:pt idx="13" formatCode="0.0%">
                  <c:v>0.54690431519699811</c:v>
                </c:pt>
              </c:numCache>
            </c:numRef>
          </c:val>
          <c:smooth val="0"/>
          <c:extLst>
            <c:ext xmlns:c16="http://schemas.microsoft.com/office/drawing/2014/chart" uri="{C3380CC4-5D6E-409C-BE32-E72D297353CC}">
              <c16:uniqueId val="{00000002-8054-4B35-82D1-66A89C693E25}"/>
            </c:ext>
          </c:extLst>
        </c:ser>
        <c:dLbls>
          <c:showLegendKey val="0"/>
          <c:showVal val="0"/>
          <c:showCatName val="0"/>
          <c:showSerName val="0"/>
          <c:showPercent val="0"/>
          <c:showBubbleSize val="0"/>
        </c:dLbls>
        <c:marker val="1"/>
        <c:smooth val="0"/>
        <c:axId val="734581624"/>
        <c:axId val="734581264"/>
      </c:lineChart>
      <c:catAx>
        <c:axId val="73458198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588464"/>
        <c:crosses val="autoZero"/>
        <c:auto val="1"/>
        <c:lblAlgn val="ctr"/>
        <c:lblOffset val="100"/>
        <c:noMultiLvlLbl val="0"/>
      </c:catAx>
      <c:valAx>
        <c:axId val="734588464"/>
        <c:scaling>
          <c:orientation val="minMax"/>
          <c:max val="7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581984"/>
        <c:crosses val="autoZero"/>
        <c:crossBetween val="between"/>
      </c:valAx>
      <c:valAx>
        <c:axId val="734581264"/>
        <c:scaling>
          <c:orientation val="minMax"/>
        </c:scaling>
        <c:delete val="0"/>
        <c:axPos val="r"/>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34581624"/>
        <c:crosses val="max"/>
        <c:crossBetween val="between"/>
      </c:valAx>
      <c:catAx>
        <c:axId val="734581624"/>
        <c:scaling>
          <c:orientation val="minMax"/>
        </c:scaling>
        <c:delete val="1"/>
        <c:axPos val="b"/>
        <c:numFmt formatCode="General" sourceLinked="1"/>
        <c:majorTickMark val="none"/>
        <c:minorTickMark val="none"/>
        <c:tickLblPos val="nextTo"/>
        <c:crossAx val="734581264"/>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Sheet1!$U$2</c:f>
              <c:strCache>
                <c:ptCount val="1"/>
                <c:pt idx="0">
                  <c:v>Total orders</c:v>
                </c:pt>
              </c:strCache>
            </c:strRef>
          </c:tx>
          <c:spPr>
            <a:solidFill>
              <a:schemeClr val="accent1"/>
            </a:solidFill>
            <a:ln>
              <a:noFill/>
            </a:ln>
            <a:effectLst/>
          </c:spPr>
          <c:invertIfNegative val="0"/>
          <c:cat>
            <c:strRef>
              <c:f>Sheet1!$T$3:$T$16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Sheet1!$U$3:$U$16</c:f>
              <c:numCache>
                <c:formatCode>General</c:formatCode>
                <c:ptCount val="14"/>
                <c:pt idx="0">
                  <c:v>638</c:v>
                </c:pt>
                <c:pt idx="1">
                  <c:v>613</c:v>
                </c:pt>
                <c:pt idx="2">
                  <c:v>555</c:v>
                </c:pt>
                <c:pt idx="3">
                  <c:v>530</c:v>
                </c:pt>
                <c:pt idx="4">
                  <c:v>527</c:v>
                </c:pt>
                <c:pt idx="5">
                  <c:v>551</c:v>
                </c:pt>
                <c:pt idx="6">
                  <c:v>634</c:v>
                </c:pt>
                <c:pt idx="7">
                  <c:v>635</c:v>
                </c:pt>
                <c:pt idx="8">
                  <c:v>577</c:v>
                </c:pt>
                <c:pt idx="9">
                  <c:v>525</c:v>
                </c:pt>
                <c:pt idx="10">
                  <c:v>486</c:v>
                </c:pt>
                <c:pt idx="11">
                  <c:v>485</c:v>
                </c:pt>
                <c:pt idx="12">
                  <c:v>396</c:v>
                </c:pt>
                <c:pt idx="13">
                  <c:v>385</c:v>
                </c:pt>
              </c:numCache>
            </c:numRef>
          </c:val>
          <c:extLst>
            <c:ext xmlns:c16="http://schemas.microsoft.com/office/drawing/2014/chart" uri="{C3380CC4-5D6E-409C-BE32-E72D297353CC}">
              <c16:uniqueId val="{00000000-698C-4EA6-BD39-4FCEB9DA838A}"/>
            </c:ext>
          </c:extLst>
        </c:ser>
        <c:dLbls>
          <c:showLegendKey val="0"/>
          <c:showVal val="0"/>
          <c:showCatName val="0"/>
          <c:showSerName val="0"/>
          <c:showPercent val="0"/>
          <c:showBubbleSize val="0"/>
        </c:dLbls>
        <c:gapWidth val="219"/>
        <c:overlap val="-27"/>
        <c:axId val="647166136"/>
        <c:axId val="647154976"/>
      </c:barChart>
      <c:lineChart>
        <c:grouping val="standard"/>
        <c:varyColors val="0"/>
        <c:ser>
          <c:idx val="1"/>
          <c:order val="1"/>
          <c:tx>
            <c:strRef>
              <c:f>Sheet1!$V$2</c:f>
              <c:strCache>
                <c:ptCount val="1"/>
                <c:pt idx="0">
                  <c:v>Reappointment %</c:v>
                </c:pt>
              </c:strCache>
            </c:strRef>
          </c:tx>
          <c:spPr>
            <a:ln w="28575" cap="rnd">
              <a:solidFill>
                <a:schemeClr val="accent2"/>
              </a:solidFill>
              <a:round/>
            </a:ln>
            <a:effectLst/>
          </c:spPr>
          <c:marker>
            <c:symbol val="none"/>
          </c:marker>
          <c:cat>
            <c:strRef>
              <c:f>Sheet1!$T$3:$T$16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Sheet1!$V$3:$V$16</c:f>
              <c:numCache>
                <c:formatCode>0.0%</c:formatCode>
                <c:ptCount val="14"/>
                <c:pt idx="0">
                  <c:v>0.26200000000000001</c:v>
                </c:pt>
                <c:pt idx="1">
                  <c:v>0.20699999999999999</c:v>
                </c:pt>
                <c:pt idx="2">
                  <c:v>0.222</c:v>
                </c:pt>
                <c:pt idx="3">
                  <c:v>0.19400000000000001</c:v>
                </c:pt>
                <c:pt idx="4">
                  <c:v>0.23199999999999998</c:v>
                </c:pt>
                <c:pt idx="5">
                  <c:v>0.22899999999999998</c:v>
                </c:pt>
                <c:pt idx="6">
                  <c:v>0.24100000000000002</c:v>
                </c:pt>
                <c:pt idx="7">
                  <c:v>0.20899999999999999</c:v>
                </c:pt>
                <c:pt idx="8">
                  <c:v>0.20499999999999999</c:v>
                </c:pt>
                <c:pt idx="9">
                  <c:v>0.253</c:v>
                </c:pt>
                <c:pt idx="10">
                  <c:v>0.26300000000000001</c:v>
                </c:pt>
                <c:pt idx="11">
                  <c:v>0.19399999999999998</c:v>
                </c:pt>
                <c:pt idx="12">
                  <c:v>0.30099999999999999</c:v>
                </c:pt>
                <c:pt idx="13">
                  <c:v>0.249</c:v>
                </c:pt>
              </c:numCache>
            </c:numRef>
          </c:val>
          <c:smooth val="0"/>
          <c:extLst>
            <c:ext xmlns:c16="http://schemas.microsoft.com/office/drawing/2014/chart" uri="{C3380CC4-5D6E-409C-BE32-E72D297353CC}">
              <c16:uniqueId val="{00000001-698C-4EA6-BD39-4FCEB9DA838A}"/>
            </c:ext>
          </c:extLst>
        </c:ser>
        <c:ser>
          <c:idx val="2"/>
          <c:order val="2"/>
          <c:tx>
            <c:strRef>
              <c:f>Sheet1!$W$2</c:f>
              <c:strCache>
                <c:ptCount val="1"/>
                <c:pt idx="0">
                  <c:v>Average of the 2 outliers</c:v>
                </c:pt>
              </c:strCache>
            </c:strRef>
          </c:tx>
          <c:spPr>
            <a:ln w="28575" cap="rnd">
              <a:solidFill>
                <a:schemeClr val="accent2">
                  <a:lumMod val="50000"/>
                </a:schemeClr>
              </a:solidFill>
              <a:prstDash val="sysDash"/>
              <a:round/>
            </a:ln>
            <a:effectLst/>
          </c:spPr>
          <c:marker>
            <c:symbol val="none"/>
          </c:marker>
          <c:cat>
            <c:strRef>
              <c:f>Sheet1!$T$3:$T$16</c:f>
              <c:strCache>
                <c:ptCount val="14"/>
                <c:pt idx="0">
                  <c:v>2010/11</c:v>
                </c:pt>
                <c:pt idx="1">
                  <c:v>2011/12</c:v>
                </c:pt>
                <c:pt idx="2">
                  <c:v>2012/13</c:v>
                </c:pt>
                <c:pt idx="3">
                  <c:v>2013/14</c:v>
                </c:pt>
                <c:pt idx="4">
                  <c:v>2014/15</c:v>
                </c:pt>
                <c:pt idx="5">
                  <c:v>2015/16</c:v>
                </c:pt>
                <c:pt idx="6">
                  <c:v>2016/17</c:v>
                </c:pt>
                <c:pt idx="7">
                  <c:v>2017/18</c:v>
                </c:pt>
                <c:pt idx="8">
                  <c:v>2018/19</c:v>
                </c:pt>
                <c:pt idx="9">
                  <c:v>2019/20</c:v>
                </c:pt>
                <c:pt idx="10">
                  <c:v>2020/21</c:v>
                </c:pt>
                <c:pt idx="11">
                  <c:v>2021/22</c:v>
                </c:pt>
                <c:pt idx="12">
                  <c:v>2022/23</c:v>
                </c:pt>
                <c:pt idx="13">
                  <c:v>2023/24</c:v>
                </c:pt>
              </c:strCache>
            </c:strRef>
          </c:cat>
          <c:val>
            <c:numRef>
              <c:f>Sheet1!$W$3:$W$16</c:f>
              <c:numCache>
                <c:formatCode>General</c:formatCode>
                <c:ptCount val="14"/>
                <c:pt idx="10" formatCode="0.0%">
                  <c:v>0.24177071509648126</c:v>
                </c:pt>
                <c:pt idx="11" formatCode="0.0%">
                  <c:v>0.24177071509648126</c:v>
                </c:pt>
                <c:pt idx="12" formatCode="0.0%">
                  <c:v>0.24177071509648126</c:v>
                </c:pt>
                <c:pt idx="13" formatCode="0.0%">
                  <c:v>0.24177071509648126</c:v>
                </c:pt>
              </c:numCache>
            </c:numRef>
          </c:val>
          <c:smooth val="0"/>
          <c:extLst>
            <c:ext xmlns:c16="http://schemas.microsoft.com/office/drawing/2014/chart" uri="{C3380CC4-5D6E-409C-BE32-E72D297353CC}">
              <c16:uniqueId val="{00000002-698C-4EA6-BD39-4FCEB9DA838A}"/>
            </c:ext>
          </c:extLst>
        </c:ser>
        <c:dLbls>
          <c:showLegendKey val="0"/>
          <c:showVal val="0"/>
          <c:showCatName val="0"/>
          <c:showSerName val="0"/>
          <c:showPercent val="0"/>
          <c:showBubbleSize val="0"/>
        </c:dLbls>
        <c:marker val="1"/>
        <c:smooth val="0"/>
        <c:axId val="647160376"/>
        <c:axId val="647156056"/>
      </c:lineChart>
      <c:catAx>
        <c:axId val="64716613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154976"/>
        <c:crosses val="autoZero"/>
        <c:auto val="1"/>
        <c:lblAlgn val="ctr"/>
        <c:lblOffset val="100"/>
        <c:noMultiLvlLbl val="0"/>
      </c:catAx>
      <c:valAx>
        <c:axId val="6471549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166136"/>
        <c:crosses val="autoZero"/>
        <c:crossBetween val="between"/>
      </c:valAx>
      <c:valAx>
        <c:axId val="647156056"/>
        <c:scaling>
          <c:orientation val="minMax"/>
          <c:max val="0.70000000000000007"/>
        </c:scaling>
        <c:delete val="0"/>
        <c:axPos val="r"/>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7160376"/>
        <c:crosses val="max"/>
        <c:crossBetween val="between"/>
      </c:valAx>
      <c:catAx>
        <c:axId val="647160376"/>
        <c:scaling>
          <c:orientation val="minMax"/>
        </c:scaling>
        <c:delete val="1"/>
        <c:axPos val="b"/>
        <c:numFmt formatCode="General" sourceLinked="1"/>
        <c:majorTickMark val="none"/>
        <c:minorTickMark val="none"/>
        <c:tickLblPos val="nextTo"/>
        <c:crossAx val="647156056"/>
        <c:crosses val="autoZero"/>
        <c:auto val="1"/>
        <c:lblAlgn val="ctr"/>
        <c:lblOffset val="100"/>
        <c:noMultiLvlLbl val="0"/>
      </c:cat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'[Copy of lois_termsoforder.xlsx]demographics ALL ToO'!$Y$11</c:f>
              <c:strCache>
                <c:ptCount val="1"/>
                <c:pt idx="0">
                  <c:v>1 order</c:v>
                </c:pt>
              </c:strCache>
            </c:strRef>
          </c:tx>
          <c:spPr>
            <a:solidFill>
              <a:schemeClr val="accent1"/>
            </a:solidFill>
            <a:ln>
              <a:noFill/>
            </a:ln>
            <a:effectLst/>
          </c:spPr>
          <c:invertIfNegative val="0"/>
          <c:cat>
            <c:strRef>
              <c:f>'[Copy of lois_termsoforder.xlsx]demographics ALL ToO'!$Z$10:$AE$10</c:f>
              <c:strCache>
                <c:ptCount val="6"/>
                <c:pt idx="0">
                  <c:v>Access to RP</c:v>
                </c:pt>
                <c:pt idx="1">
                  <c:v>Access to Services</c:v>
                </c:pt>
                <c:pt idx="2">
                  <c:v>Accomm</c:v>
                </c:pt>
                <c:pt idx="3">
                  <c:v>Health</c:v>
                </c:pt>
                <c:pt idx="4">
                  <c:v>s.40</c:v>
                </c:pt>
                <c:pt idx="5">
                  <c:v>Other (order type)</c:v>
                </c:pt>
              </c:strCache>
            </c:strRef>
          </c:cat>
          <c:val>
            <c:numRef>
              <c:f>'[Copy of lois_termsoforder.xlsx]demographics ALL ToO'!$Z$11:$AE$11</c:f>
              <c:numCache>
                <c:formatCode>0.0%</c:formatCode>
                <c:ptCount val="6"/>
                <c:pt idx="0">
                  <c:v>5.8956916099773243E-2</c:v>
                </c:pt>
                <c:pt idx="1">
                  <c:v>0.82086167800453513</c:v>
                </c:pt>
                <c:pt idx="2">
                  <c:v>0.88662131519274379</c:v>
                </c:pt>
                <c:pt idx="3">
                  <c:v>0.27210884353741499</c:v>
                </c:pt>
                <c:pt idx="4">
                  <c:v>3.8548752834467119E-2</c:v>
                </c:pt>
                <c:pt idx="5">
                  <c:v>5.6689342403628121E-2</c:v>
                </c:pt>
              </c:numCache>
            </c:numRef>
          </c:val>
          <c:extLst>
            <c:ext xmlns:c16="http://schemas.microsoft.com/office/drawing/2014/chart" uri="{C3380CC4-5D6E-409C-BE32-E72D297353CC}">
              <c16:uniqueId val="{00000000-CED0-43E5-A9B2-725E1D35C800}"/>
            </c:ext>
          </c:extLst>
        </c:ser>
        <c:ser>
          <c:idx val="1"/>
          <c:order val="1"/>
          <c:tx>
            <c:strRef>
              <c:f>'[Copy of lois_termsoforder.xlsx]demographics ALL ToO'!$Y$12</c:f>
              <c:strCache>
                <c:ptCount val="1"/>
                <c:pt idx="0">
                  <c:v>2 orders</c:v>
                </c:pt>
              </c:strCache>
            </c:strRef>
          </c:tx>
          <c:spPr>
            <a:solidFill>
              <a:schemeClr val="accent2"/>
            </a:solidFill>
            <a:ln>
              <a:noFill/>
            </a:ln>
            <a:effectLst/>
          </c:spPr>
          <c:invertIfNegative val="0"/>
          <c:cat>
            <c:strRef>
              <c:f>'[Copy of lois_termsoforder.xlsx]demographics ALL ToO'!$Z$10:$AE$10</c:f>
              <c:strCache>
                <c:ptCount val="6"/>
                <c:pt idx="0">
                  <c:v>Access to RP</c:v>
                </c:pt>
                <c:pt idx="1">
                  <c:v>Access to Services</c:v>
                </c:pt>
                <c:pt idx="2">
                  <c:v>Accomm</c:v>
                </c:pt>
                <c:pt idx="3">
                  <c:v>Health</c:v>
                </c:pt>
                <c:pt idx="4">
                  <c:v>s.40</c:v>
                </c:pt>
                <c:pt idx="5">
                  <c:v>Other (order type)</c:v>
                </c:pt>
              </c:strCache>
            </c:strRef>
          </c:cat>
          <c:val>
            <c:numRef>
              <c:f>'[Copy of lois_termsoforder.xlsx]demographics ALL ToO'!$Z$12:$AE$12</c:f>
              <c:numCache>
                <c:formatCode>0.0%</c:formatCode>
                <c:ptCount val="6"/>
                <c:pt idx="0">
                  <c:v>9.0225563909774431E-2</c:v>
                </c:pt>
                <c:pt idx="1">
                  <c:v>0.84962406015037595</c:v>
                </c:pt>
                <c:pt idx="2">
                  <c:v>0.8571428571428571</c:v>
                </c:pt>
                <c:pt idx="3">
                  <c:v>0.19548872180451127</c:v>
                </c:pt>
                <c:pt idx="4">
                  <c:v>3.7593984962406013E-2</c:v>
                </c:pt>
                <c:pt idx="5">
                  <c:v>0.12781954887218044</c:v>
                </c:pt>
              </c:numCache>
            </c:numRef>
          </c:val>
          <c:extLst>
            <c:ext xmlns:c16="http://schemas.microsoft.com/office/drawing/2014/chart" uri="{C3380CC4-5D6E-409C-BE32-E72D297353CC}">
              <c16:uniqueId val="{00000001-CED0-43E5-A9B2-725E1D35C800}"/>
            </c:ext>
          </c:extLst>
        </c:ser>
        <c:ser>
          <c:idx val="4"/>
          <c:order val="4"/>
          <c:tx>
            <c:strRef>
              <c:f>'[Copy of lois_termsoforder.xlsx]demographics ALL ToO'!$Y$15</c:f>
              <c:strCache>
                <c:ptCount val="1"/>
                <c:pt idx="0">
                  <c:v>3 to 5 orders</c:v>
                </c:pt>
              </c:strCache>
            </c:strRef>
          </c:tx>
          <c:spPr>
            <a:solidFill>
              <a:schemeClr val="accent5"/>
            </a:solidFill>
            <a:ln>
              <a:noFill/>
            </a:ln>
            <a:effectLst/>
          </c:spPr>
          <c:invertIfNegative val="0"/>
          <c:cat>
            <c:strRef>
              <c:f>'[Copy of lois_termsoforder.xlsx]demographics ALL ToO'!$Z$10:$AE$10</c:f>
              <c:strCache>
                <c:ptCount val="6"/>
                <c:pt idx="0">
                  <c:v>Access to RP</c:v>
                </c:pt>
                <c:pt idx="1">
                  <c:v>Access to Services</c:v>
                </c:pt>
                <c:pt idx="2">
                  <c:v>Accomm</c:v>
                </c:pt>
                <c:pt idx="3">
                  <c:v>Health</c:v>
                </c:pt>
                <c:pt idx="4">
                  <c:v>s.40</c:v>
                </c:pt>
                <c:pt idx="5">
                  <c:v>Other (order type)</c:v>
                </c:pt>
              </c:strCache>
            </c:strRef>
          </c:cat>
          <c:val>
            <c:numRef>
              <c:f>'[Copy of lois_termsoforder.xlsx]demographics ALL ToO'!$Z$15:$AE$15</c:f>
              <c:numCache>
                <c:formatCode>0.0%</c:formatCode>
                <c:ptCount val="6"/>
                <c:pt idx="0">
                  <c:v>0.10945273631840796</c:v>
                </c:pt>
                <c:pt idx="1">
                  <c:v>0.88059701492537312</c:v>
                </c:pt>
                <c:pt idx="2">
                  <c:v>0.84079601990049746</c:v>
                </c:pt>
                <c:pt idx="3">
                  <c:v>0.17910447761194029</c:v>
                </c:pt>
                <c:pt idx="4">
                  <c:v>6.965174129353234E-2</c:v>
                </c:pt>
                <c:pt idx="5">
                  <c:v>0.17910447761194029</c:v>
                </c:pt>
              </c:numCache>
            </c:numRef>
          </c:val>
          <c:extLst>
            <c:ext xmlns:c16="http://schemas.microsoft.com/office/drawing/2014/chart" uri="{C3380CC4-5D6E-409C-BE32-E72D297353CC}">
              <c16:uniqueId val="{00000002-CED0-43E5-A9B2-725E1D35C800}"/>
            </c:ext>
          </c:extLst>
        </c:ser>
        <c:ser>
          <c:idx val="5"/>
          <c:order val="5"/>
          <c:tx>
            <c:strRef>
              <c:f>'[Copy of lois_termsoforder.xlsx]demographics ALL ToO'!$Y$16</c:f>
              <c:strCache>
                <c:ptCount val="1"/>
                <c:pt idx="0">
                  <c:v>6+orders</c:v>
                </c:pt>
              </c:strCache>
            </c:strRef>
          </c:tx>
          <c:spPr>
            <a:solidFill>
              <a:schemeClr val="accent6"/>
            </a:solidFill>
            <a:ln>
              <a:noFill/>
            </a:ln>
            <a:effectLst/>
          </c:spPr>
          <c:invertIfNegative val="0"/>
          <c:cat>
            <c:strRef>
              <c:f>'[Copy of lois_termsoforder.xlsx]demographics ALL ToO'!$Z$10:$AE$10</c:f>
              <c:strCache>
                <c:ptCount val="6"/>
                <c:pt idx="0">
                  <c:v>Access to RP</c:v>
                </c:pt>
                <c:pt idx="1">
                  <c:v>Access to Services</c:v>
                </c:pt>
                <c:pt idx="2">
                  <c:v>Accomm</c:v>
                </c:pt>
                <c:pt idx="3">
                  <c:v>Health</c:v>
                </c:pt>
                <c:pt idx="4">
                  <c:v>s.40</c:v>
                </c:pt>
                <c:pt idx="5">
                  <c:v>Other (order type)</c:v>
                </c:pt>
              </c:strCache>
            </c:strRef>
          </c:cat>
          <c:val>
            <c:numRef>
              <c:f>'[Copy of lois_termsoforder.xlsx]demographics ALL ToO'!$Z$16:$AE$16</c:f>
              <c:numCache>
                <c:formatCode>0.0%</c:formatCode>
                <c:ptCount val="6"/>
                <c:pt idx="0">
                  <c:v>0.21951219512195122</c:v>
                </c:pt>
                <c:pt idx="1">
                  <c:v>0.92682926829268297</c:v>
                </c:pt>
                <c:pt idx="2">
                  <c:v>0.80487804878048785</c:v>
                </c:pt>
                <c:pt idx="3">
                  <c:v>0.1951219512195122</c:v>
                </c:pt>
                <c:pt idx="4">
                  <c:v>9.7560975609756101E-2</c:v>
                </c:pt>
                <c:pt idx="5">
                  <c:v>9.7560975609756101E-2</c:v>
                </c:pt>
              </c:numCache>
            </c:numRef>
          </c:val>
          <c:extLst>
            <c:ext xmlns:c16="http://schemas.microsoft.com/office/drawing/2014/chart" uri="{C3380CC4-5D6E-409C-BE32-E72D297353CC}">
              <c16:uniqueId val="{00000003-CED0-43E5-A9B2-725E1D35C800}"/>
            </c:ext>
          </c:extLst>
        </c:ser>
        <c:dLbls>
          <c:showLegendKey val="0"/>
          <c:showVal val="0"/>
          <c:showCatName val="0"/>
          <c:showSerName val="0"/>
          <c:showPercent val="0"/>
          <c:showBubbleSize val="0"/>
        </c:dLbls>
        <c:gapWidth val="219"/>
        <c:overlap val="-27"/>
        <c:axId val="961362040"/>
        <c:axId val="961359880"/>
        <c:extLst>
          <c:ext xmlns:c15="http://schemas.microsoft.com/office/drawing/2012/chart" uri="{02D57815-91ED-43cb-92C2-25804820EDAC}">
            <c15:filteredBarSeries>
              <c15:ser>
                <c:idx val="2"/>
                <c:order val="2"/>
                <c:tx>
                  <c:strRef>
                    <c:extLst>
                      <c:ext uri="{02D57815-91ED-43cb-92C2-25804820EDAC}">
                        <c15:formulaRef>
                          <c15:sqref>'[Copy of lois_termsoforder.xlsx]demographics ALL ToO'!$Y$13</c15:sqref>
                        </c15:formulaRef>
                      </c:ext>
                    </c:extLst>
                    <c:strCache>
                      <c:ptCount val="1"/>
                      <c:pt idx="0">
                        <c:v>all reapps</c:v>
                      </c:pt>
                    </c:strCache>
                  </c:strRef>
                </c:tx>
                <c:spPr>
                  <a:solidFill>
                    <a:schemeClr val="accent3"/>
                  </a:solidFill>
                  <a:ln>
                    <a:noFill/>
                  </a:ln>
                  <a:effectLst/>
                </c:spPr>
                <c:invertIfNegative val="0"/>
                <c:cat>
                  <c:strRef>
                    <c:extLst>
                      <c:ext uri="{02D57815-91ED-43cb-92C2-25804820EDAC}">
                        <c15:formulaRef>
                          <c15:sqref>'[Copy of lois_termsoforder.xlsx]demographics ALL ToO'!$Z$10:$AE$10</c15:sqref>
                        </c15:formulaRef>
                      </c:ext>
                    </c:extLst>
                    <c:strCache>
                      <c:ptCount val="6"/>
                      <c:pt idx="0">
                        <c:v>Access to RP</c:v>
                      </c:pt>
                      <c:pt idx="1">
                        <c:v>Access to Services</c:v>
                      </c:pt>
                      <c:pt idx="2">
                        <c:v>Accomm</c:v>
                      </c:pt>
                      <c:pt idx="3">
                        <c:v>Health</c:v>
                      </c:pt>
                      <c:pt idx="4">
                        <c:v>s.40</c:v>
                      </c:pt>
                      <c:pt idx="5">
                        <c:v>Other (order type)</c:v>
                      </c:pt>
                    </c:strCache>
                  </c:strRef>
                </c:cat>
                <c:val>
                  <c:numRef>
                    <c:extLst>
                      <c:ext uri="{02D57815-91ED-43cb-92C2-25804820EDAC}">
                        <c15:formulaRef>
                          <c15:sqref>'[Copy of lois_termsoforder.xlsx]demographics ALL ToO'!$Z$13:$AE$13</c15:sqref>
                        </c15:formulaRef>
                      </c:ext>
                    </c:extLst>
                    <c:numCache>
                      <c:formatCode>0.0%</c:formatCode>
                      <c:ptCount val="6"/>
                      <c:pt idx="0">
                        <c:v>0.11466666666666667</c:v>
                      </c:pt>
                      <c:pt idx="1">
                        <c:v>0.8746666666666667</c:v>
                      </c:pt>
                      <c:pt idx="2">
                        <c:v>0.84266666666666667</c:v>
                      </c:pt>
                      <c:pt idx="3">
                        <c:v>0.18666666666666668</c:v>
                      </c:pt>
                      <c:pt idx="4">
                        <c:v>6.133333333333333E-2</c:v>
                      </c:pt>
                      <c:pt idx="5">
                        <c:v>0.152</c:v>
                      </c:pt>
                    </c:numCache>
                  </c:numRef>
                </c:val>
                <c:extLst>
                  <c:ext xmlns:c16="http://schemas.microsoft.com/office/drawing/2014/chart" uri="{C3380CC4-5D6E-409C-BE32-E72D297353CC}">
                    <c16:uniqueId val="{00000004-CED0-43E5-A9B2-725E1D35C800}"/>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'[Copy of lois_termsoforder.xlsx]demographics ALL ToO'!$Y$14</c15:sqref>
                        </c15:formulaRef>
                      </c:ext>
                    </c:extLst>
                    <c:strCache>
                      <c:ptCount val="1"/>
                      <c:pt idx="0">
                        <c:v>3+ orders</c:v>
                      </c:pt>
                    </c:strCache>
                  </c:strRef>
                </c:tx>
                <c:spPr>
                  <a:solidFill>
                    <a:schemeClr val="accent4"/>
                  </a:solidFill>
                  <a:ln>
                    <a:noFill/>
                  </a:ln>
                  <a:effectLst/>
                </c:spPr>
                <c:invertIfNegative val="0"/>
                <c:cat>
                  <c:strRef>
                    <c:extLst xmlns:c15="http://schemas.microsoft.com/office/drawing/2012/chart">
                      <c:ext xmlns:c15="http://schemas.microsoft.com/office/drawing/2012/chart" uri="{02D57815-91ED-43cb-92C2-25804820EDAC}">
                        <c15:formulaRef>
                          <c15:sqref>'[Copy of lois_termsoforder.xlsx]demographics ALL ToO'!$Z$10:$AE$10</c15:sqref>
                        </c15:formulaRef>
                      </c:ext>
                    </c:extLst>
                    <c:strCache>
                      <c:ptCount val="6"/>
                      <c:pt idx="0">
                        <c:v>Access to RP</c:v>
                      </c:pt>
                      <c:pt idx="1">
                        <c:v>Access to Services</c:v>
                      </c:pt>
                      <c:pt idx="2">
                        <c:v>Accomm</c:v>
                      </c:pt>
                      <c:pt idx="3">
                        <c:v>Health</c:v>
                      </c:pt>
                      <c:pt idx="4">
                        <c:v>s.40</c:v>
                      </c:pt>
                      <c:pt idx="5">
                        <c:v>Other (order type)</c:v>
                      </c:pt>
                    </c:strCache>
                  </c:strRef>
                </c:cat>
                <c:val>
                  <c:numRef>
                    <c:extLst xmlns:c15="http://schemas.microsoft.com/office/drawing/2012/chart">
                      <c:ext xmlns:c15="http://schemas.microsoft.com/office/drawing/2012/chart" uri="{02D57815-91ED-43cb-92C2-25804820EDAC}">
                        <c15:formulaRef>
                          <c15:sqref>'[Copy of lois_termsoforder.xlsx]demographics ALL ToO'!$Z$14:$AE$14</c15:sqref>
                        </c15:formulaRef>
                      </c:ext>
                    </c:extLst>
                    <c:numCache>
                      <c:formatCode>0.0%</c:formatCode>
                      <c:ptCount val="6"/>
                      <c:pt idx="0">
                        <c:v>0.128099173553719</c:v>
                      </c:pt>
                      <c:pt idx="1">
                        <c:v>0.88842975206611574</c:v>
                      </c:pt>
                      <c:pt idx="2">
                        <c:v>0.83471074380165289</c:v>
                      </c:pt>
                      <c:pt idx="3">
                        <c:v>0.18181818181818182</c:v>
                      </c:pt>
                      <c:pt idx="4">
                        <c:v>7.43801652892562E-2</c:v>
                      </c:pt>
                      <c:pt idx="5">
                        <c:v>0.16528925619834711</c:v>
                      </c:pt>
                    </c:numCache>
                  </c:numRef>
                </c:val>
                <c:extLst xmlns:c15="http://schemas.microsoft.com/office/drawing/2012/chart">
                  <c:ext xmlns:c16="http://schemas.microsoft.com/office/drawing/2014/chart" uri="{C3380CC4-5D6E-409C-BE32-E72D297353CC}">
                    <c16:uniqueId val="{00000005-CED0-43E5-A9B2-725E1D35C800}"/>
                  </c:ext>
                </c:extLst>
              </c15:ser>
            </c15:filteredBarSeries>
          </c:ext>
        </c:extLst>
      </c:barChart>
      <c:catAx>
        <c:axId val="961362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1359880"/>
        <c:crosses val="autoZero"/>
        <c:auto val="1"/>
        <c:lblAlgn val="ctr"/>
        <c:lblOffset val="100"/>
        <c:noMultiLvlLbl val="0"/>
      </c:catAx>
      <c:valAx>
        <c:axId val="96135988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61362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046B394110ED0498ED8EFCB68327CCE" ma:contentTypeVersion="20" ma:contentTypeDescription="Create a new document." ma:contentTypeScope="" ma:versionID="fa1551c8cd2470e5b4f033410659691d">
  <xsd:schema xmlns:xsd="http://www.w3.org/2001/XMLSchema" xmlns:xs="http://www.w3.org/2001/XMLSchema" xmlns:p="http://schemas.microsoft.com/office/2006/metadata/properties" xmlns:ns2="a288ba13-0020-4551-8e04-85673c50f226" xmlns:ns3="bbf684ba-f8f5-4c86-9f01-c030c0f000ea" targetNamespace="http://schemas.microsoft.com/office/2006/metadata/properties" ma:root="true" ma:fieldsID="0343cbaed1dd788240b3b04455dd24a4" ns2:_="" ns3:_="">
    <xsd:import namespace="a288ba13-0020-4551-8e04-85673c50f226"/>
    <xsd:import namespace="bbf684ba-f8f5-4c86-9f01-c030c0f000e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Author0"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88ba13-0020-4551-8e04-85673c50f2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Author0" ma:index="26" nillable="true" ma:displayName="Creator/ author" ma:default="SAU" ma:format="Dropdown" ma:internalName="Author0">
      <xsd:simpleType>
        <xsd:restriction base="dms:Text">
          <xsd:maxLength value="255"/>
        </xsd:restriction>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bf684ba-f8f5-4c86-9f01-c030c0f000ea"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ff384f6-5ef0-41df-8016-62762ce69216}" ma:internalName="TaxCatchAll" ma:showField="CatchAllData" ma:web="bbf684ba-f8f5-4c86-9f01-c030c0f000e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bf684ba-f8f5-4c86-9f01-c030c0f000ea" xsi:nil="true"/>
    <lcf76f155ced4ddcb4097134ff3c332f xmlns="a288ba13-0020-4551-8e04-85673c50f226">
      <Terms xmlns="http://schemas.microsoft.com/office/infopath/2007/PartnerControls"/>
    </lcf76f155ced4ddcb4097134ff3c332f>
    <Author0 xmlns="a288ba13-0020-4551-8e04-85673c50f226">SAU</Author0>
  </documentManagement>
</p:properties>
</file>

<file path=customXml/itemProps1.xml><?xml version="1.0" encoding="utf-8"?>
<ds:datastoreItem xmlns:ds="http://schemas.openxmlformats.org/officeDocument/2006/customXml" ds:itemID="{9707CC37-7311-41AE-80E7-2434080685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88ba13-0020-4551-8e04-85673c50f226"/>
    <ds:schemaRef ds:uri="bbf684ba-f8f5-4c86-9f01-c030c0f000e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B247C31-C7FF-4842-97FC-E08C153C5547}">
  <ds:schemaRefs>
    <ds:schemaRef ds:uri="http://schemas.microsoft.com/sharepoint/v3/contenttype/forms"/>
  </ds:schemaRefs>
</ds:datastoreItem>
</file>

<file path=customXml/itemProps3.xml><?xml version="1.0" encoding="utf-8"?>
<ds:datastoreItem xmlns:ds="http://schemas.openxmlformats.org/officeDocument/2006/customXml" ds:itemID="{4A649489-4735-4A4D-99AE-6E584DDE71B4}">
  <ds:schemaRefs>
    <ds:schemaRef ds:uri="http://schemas.openxmlformats.org/officeDocument/2006/bibliography"/>
  </ds:schemaRefs>
</ds:datastoreItem>
</file>

<file path=customXml/itemProps4.xml><?xml version="1.0" encoding="utf-8"?>
<ds:datastoreItem xmlns:ds="http://schemas.openxmlformats.org/officeDocument/2006/customXml" ds:itemID="{8EEAED52-779D-4A65-9075-7F59E1A1D0DB}">
  <ds:schemaRefs>
    <ds:schemaRef ds:uri="http://schemas.microsoft.com/office/2006/metadata/properties"/>
    <ds:schemaRef ds:uri="http://schemas.microsoft.com/office/infopath/2007/PartnerControls"/>
    <ds:schemaRef ds:uri="bbf684ba-f8f5-4c86-9f01-c030c0f000ea"/>
    <ds:schemaRef ds:uri="a288ba13-0020-4551-8e04-85673c50f226"/>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15</Pages>
  <Words>4681</Words>
  <Characters>26683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31302</CharactersWithSpaces>
  <SharedDoc>false</SharedDoc>
  <HLinks>
    <vt:vector size="138" baseType="variant">
      <vt:variant>
        <vt:i4>1114161</vt:i4>
      </vt:variant>
      <vt:variant>
        <vt:i4>125</vt:i4>
      </vt:variant>
      <vt:variant>
        <vt:i4>0</vt:i4>
      </vt:variant>
      <vt:variant>
        <vt:i4>5</vt:i4>
      </vt:variant>
      <vt:variant>
        <vt:lpwstr/>
      </vt:variant>
      <vt:variant>
        <vt:lpwstr>_Toc200623134</vt:lpwstr>
      </vt:variant>
      <vt:variant>
        <vt:i4>1114161</vt:i4>
      </vt:variant>
      <vt:variant>
        <vt:i4>119</vt:i4>
      </vt:variant>
      <vt:variant>
        <vt:i4>0</vt:i4>
      </vt:variant>
      <vt:variant>
        <vt:i4>5</vt:i4>
      </vt:variant>
      <vt:variant>
        <vt:lpwstr/>
      </vt:variant>
      <vt:variant>
        <vt:lpwstr>_Toc200623133</vt:lpwstr>
      </vt:variant>
      <vt:variant>
        <vt:i4>1114161</vt:i4>
      </vt:variant>
      <vt:variant>
        <vt:i4>113</vt:i4>
      </vt:variant>
      <vt:variant>
        <vt:i4>0</vt:i4>
      </vt:variant>
      <vt:variant>
        <vt:i4>5</vt:i4>
      </vt:variant>
      <vt:variant>
        <vt:lpwstr/>
      </vt:variant>
      <vt:variant>
        <vt:lpwstr>_Toc200623132</vt:lpwstr>
      </vt:variant>
      <vt:variant>
        <vt:i4>1114161</vt:i4>
      </vt:variant>
      <vt:variant>
        <vt:i4>107</vt:i4>
      </vt:variant>
      <vt:variant>
        <vt:i4>0</vt:i4>
      </vt:variant>
      <vt:variant>
        <vt:i4>5</vt:i4>
      </vt:variant>
      <vt:variant>
        <vt:lpwstr/>
      </vt:variant>
      <vt:variant>
        <vt:lpwstr>_Toc200623131</vt:lpwstr>
      </vt:variant>
      <vt:variant>
        <vt:i4>1114161</vt:i4>
      </vt:variant>
      <vt:variant>
        <vt:i4>101</vt:i4>
      </vt:variant>
      <vt:variant>
        <vt:i4>0</vt:i4>
      </vt:variant>
      <vt:variant>
        <vt:i4>5</vt:i4>
      </vt:variant>
      <vt:variant>
        <vt:lpwstr/>
      </vt:variant>
      <vt:variant>
        <vt:lpwstr>_Toc200623130</vt:lpwstr>
      </vt:variant>
      <vt:variant>
        <vt:i4>1048625</vt:i4>
      </vt:variant>
      <vt:variant>
        <vt:i4>95</vt:i4>
      </vt:variant>
      <vt:variant>
        <vt:i4>0</vt:i4>
      </vt:variant>
      <vt:variant>
        <vt:i4>5</vt:i4>
      </vt:variant>
      <vt:variant>
        <vt:lpwstr/>
      </vt:variant>
      <vt:variant>
        <vt:lpwstr>_Toc200623129</vt:lpwstr>
      </vt:variant>
      <vt:variant>
        <vt:i4>1048625</vt:i4>
      </vt:variant>
      <vt:variant>
        <vt:i4>89</vt:i4>
      </vt:variant>
      <vt:variant>
        <vt:i4>0</vt:i4>
      </vt:variant>
      <vt:variant>
        <vt:i4>5</vt:i4>
      </vt:variant>
      <vt:variant>
        <vt:lpwstr/>
      </vt:variant>
      <vt:variant>
        <vt:lpwstr>_Toc200623128</vt:lpwstr>
      </vt:variant>
      <vt:variant>
        <vt:i4>1048625</vt:i4>
      </vt:variant>
      <vt:variant>
        <vt:i4>83</vt:i4>
      </vt:variant>
      <vt:variant>
        <vt:i4>0</vt:i4>
      </vt:variant>
      <vt:variant>
        <vt:i4>5</vt:i4>
      </vt:variant>
      <vt:variant>
        <vt:lpwstr/>
      </vt:variant>
      <vt:variant>
        <vt:lpwstr>_Toc200623127</vt:lpwstr>
      </vt:variant>
      <vt:variant>
        <vt:i4>1048625</vt:i4>
      </vt:variant>
      <vt:variant>
        <vt:i4>77</vt:i4>
      </vt:variant>
      <vt:variant>
        <vt:i4>0</vt:i4>
      </vt:variant>
      <vt:variant>
        <vt:i4>5</vt:i4>
      </vt:variant>
      <vt:variant>
        <vt:lpwstr/>
      </vt:variant>
      <vt:variant>
        <vt:lpwstr>_Toc200623126</vt:lpwstr>
      </vt:variant>
      <vt:variant>
        <vt:i4>1048625</vt:i4>
      </vt:variant>
      <vt:variant>
        <vt:i4>71</vt:i4>
      </vt:variant>
      <vt:variant>
        <vt:i4>0</vt:i4>
      </vt:variant>
      <vt:variant>
        <vt:i4>5</vt:i4>
      </vt:variant>
      <vt:variant>
        <vt:lpwstr/>
      </vt:variant>
      <vt:variant>
        <vt:lpwstr>_Toc200623125</vt:lpwstr>
      </vt:variant>
      <vt:variant>
        <vt:i4>1048625</vt:i4>
      </vt:variant>
      <vt:variant>
        <vt:i4>65</vt:i4>
      </vt:variant>
      <vt:variant>
        <vt:i4>0</vt:i4>
      </vt:variant>
      <vt:variant>
        <vt:i4>5</vt:i4>
      </vt:variant>
      <vt:variant>
        <vt:lpwstr/>
      </vt:variant>
      <vt:variant>
        <vt:lpwstr>_Toc200623124</vt:lpwstr>
      </vt:variant>
      <vt:variant>
        <vt:i4>1048625</vt:i4>
      </vt:variant>
      <vt:variant>
        <vt:i4>59</vt:i4>
      </vt:variant>
      <vt:variant>
        <vt:i4>0</vt:i4>
      </vt:variant>
      <vt:variant>
        <vt:i4>5</vt:i4>
      </vt:variant>
      <vt:variant>
        <vt:lpwstr/>
      </vt:variant>
      <vt:variant>
        <vt:lpwstr>_Toc200623123</vt:lpwstr>
      </vt:variant>
      <vt:variant>
        <vt:i4>1048625</vt:i4>
      </vt:variant>
      <vt:variant>
        <vt:i4>53</vt:i4>
      </vt:variant>
      <vt:variant>
        <vt:i4>0</vt:i4>
      </vt:variant>
      <vt:variant>
        <vt:i4>5</vt:i4>
      </vt:variant>
      <vt:variant>
        <vt:lpwstr/>
      </vt:variant>
      <vt:variant>
        <vt:lpwstr>_Toc200623122</vt:lpwstr>
      </vt:variant>
      <vt:variant>
        <vt:i4>1048625</vt:i4>
      </vt:variant>
      <vt:variant>
        <vt:i4>47</vt:i4>
      </vt:variant>
      <vt:variant>
        <vt:i4>0</vt:i4>
      </vt:variant>
      <vt:variant>
        <vt:i4>5</vt:i4>
      </vt:variant>
      <vt:variant>
        <vt:lpwstr/>
      </vt:variant>
      <vt:variant>
        <vt:lpwstr>_Toc200623121</vt:lpwstr>
      </vt:variant>
      <vt:variant>
        <vt:i4>1048625</vt:i4>
      </vt:variant>
      <vt:variant>
        <vt:i4>41</vt:i4>
      </vt:variant>
      <vt:variant>
        <vt:i4>0</vt:i4>
      </vt:variant>
      <vt:variant>
        <vt:i4>5</vt:i4>
      </vt:variant>
      <vt:variant>
        <vt:lpwstr/>
      </vt:variant>
      <vt:variant>
        <vt:lpwstr>_Toc200623120</vt:lpwstr>
      </vt:variant>
      <vt:variant>
        <vt:i4>1245233</vt:i4>
      </vt:variant>
      <vt:variant>
        <vt:i4>35</vt:i4>
      </vt:variant>
      <vt:variant>
        <vt:i4>0</vt:i4>
      </vt:variant>
      <vt:variant>
        <vt:i4>5</vt:i4>
      </vt:variant>
      <vt:variant>
        <vt:lpwstr/>
      </vt:variant>
      <vt:variant>
        <vt:lpwstr>_Toc200623119</vt:lpwstr>
      </vt:variant>
      <vt:variant>
        <vt:i4>1245233</vt:i4>
      </vt:variant>
      <vt:variant>
        <vt:i4>29</vt:i4>
      </vt:variant>
      <vt:variant>
        <vt:i4>0</vt:i4>
      </vt:variant>
      <vt:variant>
        <vt:i4>5</vt:i4>
      </vt:variant>
      <vt:variant>
        <vt:lpwstr/>
      </vt:variant>
      <vt:variant>
        <vt:lpwstr>_Toc200623118</vt:lpwstr>
      </vt:variant>
      <vt:variant>
        <vt:i4>1245233</vt:i4>
      </vt:variant>
      <vt:variant>
        <vt:i4>23</vt:i4>
      </vt:variant>
      <vt:variant>
        <vt:i4>0</vt:i4>
      </vt:variant>
      <vt:variant>
        <vt:i4>5</vt:i4>
      </vt:variant>
      <vt:variant>
        <vt:lpwstr/>
      </vt:variant>
      <vt:variant>
        <vt:lpwstr>_Toc200623117</vt:lpwstr>
      </vt:variant>
      <vt:variant>
        <vt:i4>1245233</vt:i4>
      </vt:variant>
      <vt:variant>
        <vt:i4>17</vt:i4>
      </vt:variant>
      <vt:variant>
        <vt:i4>0</vt:i4>
      </vt:variant>
      <vt:variant>
        <vt:i4>5</vt:i4>
      </vt:variant>
      <vt:variant>
        <vt:lpwstr/>
      </vt:variant>
      <vt:variant>
        <vt:lpwstr>_Toc200623116</vt:lpwstr>
      </vt:variant>
      <vt:variant>
        <vt:i4>1245233</vt:i4>
      </vt:variant>
      <vt:variant>
        <vt:i4>11</vt:i4>
      </vt:variant>
      <vt:variant>
        <vt:i4>0</vt:i4>
      </vt:variant>
      <vt:variant>
        <vt:i4>5</vt:i4>
      </vt:variant>
      <vt:variant>
        <vt:lpwstr/>
      </vt:variant>
      <vt:variant>
        <vt:lpwstr>_Toc200623115</vt:lpwstr>
      </vt:variant>
      <vt:variant>
        <vt:i4>1245233</vt:i4>
      </vt:variant>
      <vt:variant>
        <vt:i4>5</vt:i4>
      </vt:variant>
      <vt:variant>
        <vt:i4>0</vt:i4>
      </vt:variant>
      <vt:variant>
        <vt:i4>5</vt:i4>
      </vt:variant>
      <vt:variant>
        <vt:lpwstr/>
      </vt:variant>
      <vt:variant>
        <vt:lpwstr>_Toc200623114</vt:lpwstr>
      </vt:variant>
      <vt:variant>
        <vt:i4>852032</vt:i4>
      </vt:variant>
      <vt:variant>
        <vt:i4>0</vt:i4>
      </vt:variant>
      <vt:variant>
        <vt:i4>0</vt:i4>
      </vt:variant>
      <vt:variant>
        <vt:i4>5</vt:i4>
      </vt:variant>
      <vt:variant>
        <vt:lpwstr>http://www.publicadvocate.vic.gov.au/</vt:lpwstr>
      </vt:variant>
      <vt:variant>
        <vt:lpwstr/>
      </vt:variant>
      <vt:variant>
        <vt:i4>3997748</vt:i4>
      </vt:variant>
      <vt:variant>
        <vt:i4>0</vt:i4>
      </vt:variant>
      <vt:variant>
        <vt:i4>0</vt:i4>
      </vt:variant>
      <vt:variant>
        <vt:i4>5</vt:i4>
      </vt:variant>
      <vt:variant>
        <vt:lpwstr>https://www.publicadvocate.vic.gov.au/opa-s-work/research/580-reflections-on-guardianship-the-law-and-practice-in-victoria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Lois R Bedson (DJCS)</dc:creator>
  <cp:keywords/>
  <dc:description/>
  <cp:lastModifiedBy>Janine M Dillon (DJCS)</cp:lastModifiedBy>
  <cp:revision>10</cp:revision>
  <cp:lastPrinted>2025-06-12T17:22:00Z</cp:lastPrinted>
  <dcterms:created xsi:type="dcterms:W3CDTF">2025-06-16T00:45:00Z</dcterms:created>
  <dcterms:modified xsi:type="dcterms:W3CDTF">2025-06-16T00:53:00Z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0x0101007046B394110ED0498ED8EFCB68327CCE</vt:lpwstr>
  </property>
  <property fmtid="{D5CDD505-2E9C-101B-9397-08002B2CF9AE}" pid="3" name="MediaServiceImageTags">
    <vt:lpwstr/>
  </property>
</Properties>
</file>